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2A7" w:rsidRPr="001C72A7" w:rsidRDefault="001C72A7" w:rsidP="001C72A7">
      <w:pPr>
        <w:spacing w:line="360" w:lineRule="auto"/>
        <w:jc w:val="center"/>
        <w:rPr>
          <w:rFonts w:eastAsia="Times New Roman" w:cs="Times New Roman"/>
          <w:b/>
          <w:bCs/>
          <w:sz w:val="22"/>
          <w:szCs w:val="22"/>
          <w:lang w:val="en"/>
        </w:rPr>
      </w:pPr>
      <w:r w:rsidRPr="001C72A7">
        <w:rPr>
          <w:rFonts w:eastAsia="Times New Roman" w:cs="Times New Roman"/>
          <w:b/>
          <w:bCs/>
          <w:sz w:val="22"/>
          <w:szCs w:val="22"/>
          <w:lang w:val="en"/>
        </w:rPr>
        <w:t>Abstract</w:t>
      </w:r>
    </w:p>
    <w:p w:rsidR="001C72A7" w:rsidRPr="001C72A7" w:rsidRDefault="001C72A7" w:rsidP="001C72A7">
      <w:pPr>
        <w:spacing w:line="360" w:lineRule="auto"/>
        <w:rPr>
          <w:rFonts w:eastAsia="Times New Roman" w:cs="Times New Roman"/>
          <w:i/>
          <w:sz w:val="22"/>
          <w:szCs w:val="22"/>
          <w:lang w:val="en"/>
        </w:rPr>
      </w:pPr>
      <w:r w:rsidRPr="001C72A7">
        <w:rPr>
          <w:rFonts w:eastAsia="Times New Roman" w:cs="Times New Roman"/>
          <w:i/>
          <w:sz w:val="22"/>
          <w:szCs w:val="22"/>
          <w:lang w:val="en"/>
        </w:rPr>
        <w:t xml:space="preserve">The United Nations Sustainable Development Goals offer a framework to advance goals of alleviating poverty and upholding human rights. This exploratory study benchmarks progress on child food security, particularly in the critical geographies of Sub Saharan Africa. The study provides an overview of existing data to facilitate further exploration and offers theoretical and tactical considerations to tackle child food insecurity. A three-pronged approach to understand parallel and intersecting pathways to child food insecurity is proposed. Our evaluation points to the need for future assessments to examine child hunger and malnutrition using more comprehensive data and theoretical frameworks. </w:t>
      </w:r>
    </w:p>
    <w:p w:rsidR="001C72A7" w:rsidRPr="001C72A7" w:rsidRDefault="001C72A7" w:rsidP="001C72A7">
      <w:pPr>
        <w:spacing w:line="360" w:lineRule="auto"/>
        <w:rPr>
          <w:rFonts w:eastAsia="Times New Roman" w:cs="Times New Roman"/>
          <w:sz w:val="22"/>
          <w:szCs w:val="22"/>
          <w:lang w:val="en"/>
        </w:rPr>
      </w:pPr>
      <w:r w:rsidRPr="001C72A7">
        <w:rPr>
          <w:rFonts w:eastAsia="Times New Roman" w:cs="Times New Roman"/>
          <w:b/>
          <w:bCs/>
          <w:sz w:val="22"/>
          <w:szCs w:val="22"/>
          <w:lang w:val="en"/>
        </w:rPr>
        <w:t>Keywords</w:t>
      </w:r>
      <w:r w:rsidRPr="001C72A7">
        <w:rPr>
          <w:rFonts w:eastAsia="Times New Roman" w:cs="Times New Roman"/>
          <w:sz w:val="22"/>
          <w:szCs w:val="22"/>
          <w:lang w:val="en"/>
        </w:rPr>
        <w:t>: UN Sustainable Development Goals; Sub Saharan Africa; Global Social Work; Food Security.</w:t>
      </w:r>
    </w:p>
    <w:p w:rsidR="001C72A7" w:rsidRPr="001C72A7" w:rsidRDefault="001C72A7" w:rsidP="001C72A7">
      <w:pPr>
        <w:spacing w:line="360" w:lineRule="auto"/>
        <w:jc w:val="center"/>
        <w:rPr>
          <w:rFonts w:eastAsia="Times New Roman" w:cs="Times New Roman"/>
          <w:sz w:val="22"/>
          <w:szCs w:val="22"/>
          <w:lang w:val="en"/>
        </w:rPr>
      </w:pPr>
    </w:p>
    <w:p w:rsidR="001C72A7" w:rsidRPr="001C72A7" w:rsidRDefault="001C72A7" w:rsidP="001C72A7">
      <w:pPr>
        <w:spacing w:line="360" w:lineRule="auto"/>
        <w:rPr>
          <w:rFonts w:eastAsia="Times New Roman" w:cs="Times New Roman"/>
          <w:b/>
          <w:sz w:val="22"/>
          <w:szCs w:val="22"/>
          <w:lang w:val="en"/>
        </w:rPr>
      </w:pPr>
      <w:r w:rsidRPr="001C72A7">
        <w:rPr>
          <w:rFonts w:eastAsia="Times New Roman" w:cs="Times New Roman"/>
          <w:b/>
          <w:sz w:val="22"/>
          <w:szCs w:val="22"/>
          <w:lang w:val="en"/>
        </w:rPr>
        <w:t xml:space="preserve">Introduction </w:t>
      </w:r>
    </w:p>
    <w:p w:rsidR="001C72A7" w:rsidRPr="001C72A7" w:rsidRDefault="001C72A7" w:rsidP="001C72A7">
      <w:pPr>
        <w:pBdr>
          <w:top w:val="nil"/>
          <w:left w:val="nil"/>
          <w:bottom w:val="none" w:sz="0" w:space="1" w:color="000000"/>
          <w:right w:val="nil"/>
          <w:between w:val="nil"/>
        </w:pBdr>
        <w:spacing w:before="160" w:line="360" w:lineRule="auto"/>
        <w:ind w:right="160"/>
        <w:rPr>
          <w:rFonts w:eastAsia="Times New Roman" w:cs="Times New Roman"/>
          <w:sz w:val="22"/>
          <w:szCs w:val="22"/>
          <w:highlight w:val="white"/>
          <w:lang w:val="en"/>
        </w:rPr>
      </w:pPr>
      <w:r w:rsidRPr="001C72A7">
        <w:rPr>
          <w:rFonts w:eastAsia="Times New Roman" w:cs="Times New Roman"/>
          <w:sz w:val="22"/>
          <w:szCs w:val="22"/>
          <w:highlight w:val="white"/>
          <w:lang w:val="en"/>
        </w:rPr>
        <w:t xml:space="preserve">Implemented in 2015, the United Nations Sustainable Development Goals (SDGs) articulate a global agenda to end poverty and enhance welfare and human dignity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{"citationItems":[{"id":"ITEM-1","itemData":{"author":[{"dropping-particle":"","family":"UN General Assembly","given":"","non-dropping-particle":"","parse-names":false,"suffix":""}],"id":"ITEM-1","issue":"October","issued":{"date-parts":[["2015"]]},"page":"1-35","title":"Transforming our world: the 2030 Agenda for Sustainable Development","type":"legislation","volume":"16301"},"uris":["http://www.mendeley.com/documents/?uuid=1f399a37-5659-4fa5-ad62-95be6c8b5e91"]}],"mendeley":{"formattedCitation":"(UN General Assembly, 2015)","plainTextFormattedCitation":"(UN General Assembly, 2015)","previouslyFormattedCitation":"(UN General Assembly, 2015)"},"properties":{"noteIndex":0},"schema":"https://github.com/citation-style-language/schema/raw/master/csl-citation.json"}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 xml:space="preserve">(UN General </w:t>
      </w:r>
      <w:r w:rsidRPr="001C72A7">
        <w:rPr>
          <w:rFonts w:eastAsia="Times New Roman" w:cs="Times New Roman"/>
          <w:noProof/>
          <w:sz w:val="22"/>
          <w:szCs w:val="22"/>
          <w:highlight w:val="white"/>
          <w:lang w:val="en"/>
        </w:rPr>
        <w:lastRenderedPageBreak/>
        <w:t>Assembly, 2015)</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The goals succeeded the Millennium Development Goals (MDGs) that ended in 2015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URL":"https://www.un.org/millenniumgoals/","accessed":{"date-parts":[["2020","5","19"]]},"author":[{"dropping-particle":"","family":"UN","given":"","non-dropping-particle":"","parse-names":false,"suffix":""}],"container-title":"United Nations Millennium Development Goals","id":"ITEM-1","issued":{"date-parts":[["2015"]]},"title":"United Nations Millennium Development Goals","type":"webpage"},"uris":["http://www.mendeley.com/documents/?uuid=195ce732-c7d6-3e9e-84ec-4ff618234bb2"]}],"mendeley":{"formattedCitation":"(UN, 2015)","plainTextFormattedCitation":"(UN, 2015)","previouslyFormattedCitation":"(UN, 2015)"},"properties":{"noteIndex":0},"schema":"https://github.com/citation-style-language/schema/raw/master/csl-citation.json"}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(UN, 2015)</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with the aim of realizing milestones the MDGs agenda was not able to attain and to address the gaps therein. The SDGs provide a framework for countries to respond to urgent and emergent challenges facing the entire world. The SDGs contain 17 goals comprising 169 targets and 232 indicators that lend a more comprehensive framework for addressing global social problems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{"citationItems":[{"id":"ITEM-1","itemData":{"author":[{"dropping-particle":"","family":"UN General Assembly","given":"","non-dropping-particle":"","parse-names":false,"suffix":""}],"id":"ITEM-1","issue":"October","issued":{"date-parts":[["2015"]]},"page":"1-35","title":"Transforming our world: the 2030 Agenda for Sustainable Development","type":"legislation","volume":"16301"},"uris":["http://www.mendeley.com/documents/?uuid=31779553-ea8e-4bb4-ae4c-04797134a603"]}],"mendeley":{"formattedCitation":"(UN General Assembly, 2015)","plainTextFormattedCitation":"(UN General Assembly, 2015)","previouslyFormattedCitation":"(UN General Assembly, 2015)"},"properties":{"noteIndex":0},"schema":"https://github.com/citation-style-language/schema/raw/master/csl-citation.json"}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(UN General Assembly, 2015)</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The SDGs highlight the integrated and indivisible balance of the three pillars of sustainable development: economic, social, and environmental (see Figure 1). The agenda underscores social work relevant people-centered approaches, human rights, environmental sustainability, equal access to resources, and prosperity sharing. This ambitious global agenda, which is scheduled to run until 2030, presents social actors and world governments with a blueprint and time sensitive targets on which to assess progress on wellbeing. Specifically, the goals demand that all United Nations member states commit resources toward realization of the </w:t>
      </w:r>
      <w:r w:rsidRPr="001C72A7">
        <w:rPr>
          <w:rFonts w:eastAsia="Times New Roman" w:cs="Times New Roman"/>
          <w:sz w:val="22"/>
          <w:szCs w:val="22"/>
          <w:highlight w:val="white"/>
          <w:lang w:val="en"/>
        </w:rPr>
        <w:lastRenderedPageBreak/>
        <w:t xml:space="preserve">targets outlined under each goal. Member states are also required to present quarterly reports on their performance. </w:t>
      </w:r>
    </w:p>
    <w:p w:rsidR="001C72A7" w:rsidRPr="001C72A7" w:rsidRDefault="001C72A7" w:rsidP="001C72A7">
      <w:pPr>
        <w:pBdr>
          <w:top w:val="nil"/>
          <w:left w:val="nil"/>
          <w:bottom w:val="none" w:sz="0" w:space="1" w:color="000000"/>
          <w:right w:val="nil"/>
          <w:between w:val="nil"/>
        </w:pBdr>
        <w:spacing w:before="160" w:line="360" w:lineRule="auto"/>
        <w:ind w:right="160"/>
        <w:rPr>
          <w:rFonts w:eastAsia="Times New Roman" w:cs="Times New Roman"/>
          <w:sz w:val="22"/>
          <w:szCs w:val="22"/>
          <w:highlight w:val="white"/>
          <w:lang w:val="en"/>
        </w:rPr>
      </w:pPr>
      <w:r w:rsidRPr="001C72A7">
        <w:rPr>
          <w:rFonts w:eastAsia="Times New Roman" w:cs="Times New Roman"/>
          <w:sz w:val="22"/>
          <w:szCs w:val="22"/>
          <w:highlight w:val="white"/>
          <w:lang w:val="en"/>
        </w:rPr>
        <w:t xml:space="preserve">Availability of data across a wide range of targets presents an opportunity for social commentators, including the profession of social work to embrace and move this discourse forward. Indeed, the elements highlighted in the SDGs are central and analogous to the tenets of the profession of social work, emphasizing social justice, human dignity, and the centrality of the human-environment relationships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{"citationItems":[{"id":"ITEM-1","itemData":{"DOI":"10.1017/CBO9781107415324.004","ISBN":"9788578110796","ISSN":"1098-6596","PMID":"25246403","author":[{"dropping-particle":"","family":"Global Agenda for Social Work and Social Development","given":"","non-dropping-particle":"","parse-names":false,"suffix":""}],"container-title":"International Social Work","id":"ITEM-1","issue":"S4","issued":{"date-parts":[["2014"]]},"number-of-pages":"3-16","title":"Global Agenda for Social Work and Social Development 2014: First report","type":"report","volume":"57"},"uris":["http://www.mendeley.com/documents/?uuid=ea13a350-c669-4e36-9f4a-a3dd47498e15"]}],"mendeley":{"formattedCitation":"(Global Agenda for Social Work and Social Development, 2014)","plainTextFormattedCitation":"(Global Agenda for Social Work and Social Development, 2014)","previouslyFormattedCitation":"(Global Agenda for Social Work and Social Development, 2014)"},"properties":{"noteIndex":0},"schema":"https://github.com/citation-style-language/schema/raw/master/csl-citation.json"}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(Global Agenda for Social Work and Social Development, 2014)</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Moreover, the three global institutions of social work: (i) International Association of Schools of Social Work (IASSW), (ii) International Council on Social Welfare (ICSW), and (iii) International Federation of Social Workers (IFSW), have jointly contributed to the agenda of SDGs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{"citationItems":[{"id":"ITEM-1","itemData":{"author":[{"dropping-particle":"","family":"IASSW","given":"","non-dropping-particle":"","parse-names":false,"suffix":""}],"container-title":"Global Agenda for Social Work and Social Development IASSW Statement","id":"ITEM-1","issued":{"date-parts":[["2016"]]},"title":"Global Agenda for Social Work and Social Development IASSW Statement Theme 3: Promoting environmental and community sustainability","type":"report"},"uris":["http://www.mendeley.com/documents/?uuid=4706b501-19e4-42b5-a9b0-1b5b4dc8bc51"]},{"id":"ITEM-2","itemData":{"DOI":"10.1007/s41134-016-0007-y","ISSN":"2365-1792","abstract":"The global agenda of Sustainable Development Goals (SDGs) provides Social Workers an opportunity to redefine their role pertaining to people empowerment, socio-economic development, human rights and the environment. This is especially so for Social Workers in Malaysia whose roles have been narrowly defined in the past. The Global Agenda enhances these possibilities for Social Workers as the SDG goals and values have parallels relevance and application with Social Work practice. However, there are challenges too, as Social Work practice addressing both human rights and environmental concerns address structural issues viewed as politically sensitive and therefore might be confrontational in nature. Nonetheless, Social Workers must stand alongside their service users as partners in development and address issues of injustice and inequality courageously and uncompromisingly abiding by Social Work Principles and Values.","author":[{"dropping-particle":"","family":"Jayasooria","given":"Denison","non-dropping-particle":"","parse-names":false,"suffix":""}],"container-title":"Journal of Human Rights and Social Work","id":"ITEM-2","issue":"1","issued":{"date-parts":[["2016"]]},"page":"19-29","title":"Sustainable Development Goals and Social Work: Opportunities and Challenges for Social Work Practice in Malaysia","type":"article-journal","volume":"1"},"uris":["http://www.mendeley.com/documents/?uuid=941894b6-43b4-4468-b90d-ef5d2b1a8d08"]}],"mendeley":{"formattedCitation":"(IASSW, 2016; Jayasooria, 2016)","plainTextFormattedCitation":"(IASSW, 2016; Jayasooria, 2016)","previouslyFormattedCitation":"(IASSW, 2016; Jayasooria, 2016)"},"properties":{"noteIndex":0},"schema":"https://github.com/citation-style-language/schema/raw/master/csl-citation.json"}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(IASSW, 2016; Jayasooria, 2016)</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Social work has an obligation to continue this dialogue, informing policy, scholarship, and practice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{"citationItems":[{"id":"ITEM-1","itemData":{"DOI":"10.1080/13691457.2016.1168788","ISSN":"14682664","abstract":"The launch of the post-2015 Agenda and its Sustainable Development Goals (SDGs) by the United Nations (UN) initiates a new set of global priorities to replace the Millennium Development Goals (MDGs). Over a three-year process, governments and civil society representatives at the UN planned and negotiated the post-2015 Agenda and a set of SDGs and targets. Unlike the MDGs which focused almost entirely on developing countries, the new agenda is intended to be universal and therefore applicable to Europe and North America. The goals address a wide range of issues including poverty and inequality, health, international trade, climate change and gender, with a strong emphasis on the environment. This article will provide an overview of the post-2015 process and explore the implications of this agenda for social work globally and locally. It will highlight areas of particular interest to the profession, especially prospects for addressing growing global inequality within and between countries, and concerns over the role of human rights protection. The advantages and limitations of linking social work’s global agenda to the new UN priorities will be assessed.","author":[{"dropping-particle":"","family":"Healy","given":"Lynne M.","non-dropping-particle":"","parse-names":false,"suffix":""}],"container-title":"European Journal of Social Work","id":"ITEM-1","issue":"1","issued":{"date-parts":[["2017"]]},"page":"5-16","publisher":"Taylor &amp; Francis","title":"Situating social work within the post-2015 Global Agenda","type":"article-journal","volume":"20"},"uris":["http://www.mendeley.com/documents/?uuid=b8a9d82d-c46b-432b-aef2-e2fed37b5874"]},{"id":"ITEM-2","itemData":{"DOI":"10.1017/CBO9781107415324.004","ISBN":"9788578110796","ISSN":"1098-6596","PMID":"25246403","author":[{"dropping-particle":"","family":"Global Agenda for Social Work and Social Development","given":"","non-dropping-particle":"","parse-names":false,"suffix":""}],"container-title":"International Social Work","id":"ITEM-2","issue":"S4","issued":{"date-parts":[["2014"]]},"number-of-pages":"3-16","title":"Global Agenda for Social Work and Social Development 2014: First report","type":"report","volume":"57"},"uris":["http://www.mendeley.com/documents/?uuid=ea13a350-c669-4e36-9f4a-a3dd47498e15"]}],"mendeley":{"formattedCitation":"(Global Agenda for Social Work and Social Development, 2014; Healy, 2017)","plainTextFormattedCitation":"(Global Agenda for Social Work and Social Development, 2014; Healy, 2017)","previouslyFormattedCitation":"(Global Agenda for Social Work and Social Development, 2014; Healy, 2017)"},"properties":{"noteIndex":0},"schema":"https://github.com/citation-style-language/schema/raw/master/csl-citation.json"}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(Global Agenda for Social Work and Social Development, 2014; Healy, 2017)</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We build upon this effort by benchmarking progress on SDG 2 - Zero Hunger. </w:t>
      </w:r>
    </w:p>
    <w:p w:rsidR="001C72A7" w:rsidRPr="001C72A7" w:rsidRDefault="001C72A7" w:rsidP="001C72A7">
      <w:pPr>
        <w:pBdr>
          <w:top w:val="nil"/>
          <w:left w:val="nil"/>
          <w:bottom w:val="none" w:sz="0" w:space="1" w:color="000000"/>
          <w:right w:val="nil"/>
          <w:between w:val="nil"/>
        </w:pBdr>
        <w:spacing w:before="160" w:line="360" w:lineRule="auto"/>
        <w:ind w:right="160"/>
        <w:rPr>
          <w:rFonts w:eastAsia="Times New Roman" w:cs="Times New Roman"/>
          <w:b/>
          <w:sz w:val="22"/>
          <w:szCs w:val="22"/>
          <w:highlight w:val="white"/>
          <w:lang w:val="en"/>
        </w:rPr>
      </w:pPr>
      <w:r w:rsidRPr="001C72A7">
        <w:rPr>
          <w:rFonts w:eastAsia="Times New Roman" w:cs="Times New Roman"/>
          <w:b/>
          <w:sz w:val="22"/>
          <w:szCs w:val="22"/>
          <w:highlight w:val="white"/>
          <w:lang w:val="en"/>
        </w:rPr>
        <w:t xml:space="preserve">FIGURE 1. The Three Pillars of SDG </w:t>
      </w:r>
      <w:r w:rsidRPr="001C72A7">
        <w:rPr>
          <w:rFonts w:eastAsia="Times New Roman" w:cs="Times New Roman"/>
          <w:b/>
          <w:noProof/>
          <w:sz w:val="22"/>
          <w:szCs w:val="22"/>
          <w:highlight w:val="white"/>
          <w:lang w:val="es-ES" w:eastAsia="es-ES"/>
        </w:rPr>
        <w:drawing>
          <wp:inline distT="114300" distB="114300" distL="114300" distR="114300" wp14:anchorId="5103B6DD" wp14:editId="168B177A">
            <wp:extent cx="3181350" cy="2219325"/>
            <wp:effectExtent l="0" t="0" r="0" b="9525"/>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19412" cy="2245877"/>
                    </a:xfrm>
                    <a:prstGeom prst="rect">
                      <a:avLst/>
                    </a:prstGeom>
                    <a:ln/>
                  </pic:spPr>
                </pic:pic>
              </a:graphicData>
            </a:graphic>
          </wp:inline>
        </w:drawing>
      </w:r>
    </w:p>
    <w:p w:rsidR="001C72A7" w:rsidRPr="001C72A7" w:rsidRDefault="001C72A7" w:rsidP="001C72A7">
      <w:pPr>
        <w:pBdr>
          <w:top w:val="nil"/>
          <w:left w:val="nil"/>
          <w:bottom w:val="none" w:sz="0" w:space="1" w:color="000000"/>
          <w:right w:val="nil"/>
          <w:between w:val="nil"/>
        </w:pBdr>
        <w:spacing w:before="160" w:line="360" w:lineRule="auto"/>
        <w:ind w:right="160"/>
        <w:rPr>
          <w:rFonts w:eastAsia="Times New Roman" w:cs="Times New Roman"/>
          <w:sz w:val="22"/>
          <w:szCs w:val="22"/>
          <w:highlight w:val="white"/>
          <w:lang w:val="en"/>
        </w:rPr>
      </w:pPr>
      <w:r w:rsidRPr="001C72A7">
        <w:rPr>
          <w:rFonts w:eastAsia="Times New Roman" w:cs="Times New Roman"/>
          <w:sz w:val="22"/>
          <w:szCs w:val="22"/>
          <w:highlight w:val="white"/>
          <w:lang w:val="en"/>
        </w:rPr>
        <w:t xml:space="preserve">Worldwide, hunger continues to be the leading cause of death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{"citationItems":[{"id":"ITEM-1","itemData":{"DOI":"10.1136/bmj.k2238","ISSN":"17561833","abstract":"Restoration of native vegetation is required in many regions of the world, but determining priority locations for revegetation is a complex problem. We consider the problem of determining spatial and temporal priorities for revegetation to maximize habitat for 62 bird species within a heavily cleared agricultural region, 11000 km2 in area. We show how a reserve-selection framework can be applied to a complex, large-scale restoration-planning problem to account for multi-species objectives and connectivity requirements at a spatial extent and resolution relevant to management. Our approach explicitly accounts for time lags in planting and development of habitat resources, which is intended to avoid future population bottlenecks caused by delayed provision of critical resources, such as tree hollows. We coupled species-specific models of expected habitat quality and fragmentation effects with the dynamics of habitat suitability following replanting to produce species-specific maps for future times. Spatial priorities for restoration were determined by ranking locations (150-m grid cells) by their expected contribution to species habitat through time using the conservation planning tool, \"Zonation.\" We evaluated solutions by calculating expected trajectories of habitat availability for each species. We produced a spatially explicit revegetation schedule for the region that resulted in a balanced increase in habitat for all species. Priority areas for revegetation generally were clustered around existing vegetation, although not always. Areas on richer soils and with high rainfall were more highly ranked, reflecting their potential to support high-quality habitats that have been disproportionately cleared for agriculture. Accounting for delayed development of habitat resources altered the rank-order of locations in the derived revegetation plan and led to improved expected outcomes for fragmentation-sensitive species. This work demonstrates the potential for systematic restoration planning at large scales that accounts for multiple objectives, which is urgently needed by land and natural resource managers.","author":[{"dropping-particle":"","family":"Webb","given":"Patrick","non-dropping-particle":"","parse-names":false,"suffix":""},{"dropping-particle":"","family":"Stordalen","given":"Gunhild Anker","non-dropping-particle":"","parse-names":false,"suffix":""},{"dropping-particle":"","family":"Singh","given":"Sudhvir","non-dropping-particle":"","parse-names":false,"suffix":""},{"dropping-particle":"","family":"Wijesinha-Bettoni","given":"Ramani","non-dropping-particle":"","parse-names":false,"suffix":""},{"dropping-particle":"","family":"Shetty","given":"Prakash","non-dropping-particle":"","parse-names":false,"suffix":""},{"dropping-particle":"","family":"Lartey","given":"Anna","non-dropping-particle":"","parse-names":false,"suffix":""}],"container-title":"BMJ (Online)","id":"ITEM-1","issued":{"date-parts":[["2018"]]},"page":"1-5","title":"Hunger and malnutrition in the 21st century","type":"article-journal","volume":"361"},"uris":["http://www.mendeley.com/documents/?uuid=1ddcca9f-73bd-45a3-b8cc-505b5ea52cf0"]},{"id":"ITEM-2","itemData":{"URL":"https://www.who.int/news-room/detail/11-09-2018-global-hunger-continues-to-rise---new-un-report-says","accessed":{"date-parts":[["2020","4","8"]]},"author":[{"dropping-particle":"","family":"WHO","given":"","non-dropping-particle":"","parse-names":false,"suffix":""}],"container-title":"World Health Organization","id":"ITEM-2","issued":{"date-parts":[["2018"]]},"title":"Global hunger continues to rise, new UN report says","type":"webpage"},"uris":["http://www.mendeley.com/documents/?uuid=ccaf014c-ccef-3c6a-8dd3-9e1964add088"]}],"mendeley":{"formattedCitation":"(Webb &lt;i&gt;et al.&lt;/i&gt;, 2018; WHO, 2018)","plainTextFormattedCitation":"(Webb et al., 2018; WHO, 2018)","previouslyFormattedCitation":"(Webb &lt;i&gt;et al.&lt;/i&gt;, 2018; WHO, 2018)"},"properties":{"noteIndex":0},"schema":"https://github.com/citation-style-language/schema/raw/master/csl-citation.json"}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 xml:space="preserve">(Webb </w:t>
      </w:r>
      <w:r w:rsidRPr="001C72A7">
        <w:rPr>
          <w:rFonts w:eastAsia="Times New Roman" w:cs="Times New Roman"/>
          <w:i/>
          <w:noProof/>
          <w:sz w:val="22"/>
          <w:szCs w:val="22"/>
          <w:highlight w:val="white"/>
          <w:lang w:val="en"/>
        </w:rPr>
        <w:t>et al.</w:t>
      </w:r>
      <w:r w:rsidRPr="001C72A7">
        <w:rPr>
          <w:rFonts w:eastAsia="Times New Roman" w:cs="Times New Roman"/>
          <w:noProof/>
          <w:sz w:val="22"/>
          <w:szCs w:val="22"/>
          <w:highlight w:val="white"/>
          <w:lang w:val="en"/>
        </w:rPr>
        <w:t>, 2018; WHO, 2018)</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This is especially alarming in the case of children under the age of five. Available data indicates that hunger and poor nutrition causes nearly half (45%) of all mortality in children under five - 3.1 million children each year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{"citationItems":[{"id":"ITEM-1","itemData":{"URL":"https://www.who.int/news-room/fact-sheets/detail/children-reducing-mortality","accessed":{"date-parts":[["2020","4","8"]]},"author":[{"dropping-particle":"","family":"World Health Organization","given":"","non-dropping-particle":"","parse-names":false,"suffix":""}],"id":"ITEM-1","issued":{"date-parts":[["2019"]]},"title":"Children: reducing mortality","type":"webpage"},"uris":["http://www.mendeley.com/documents/?uuid=3c7a070e-a234-4fed-8fbe-88c50a03a4bc"]}],"mendeley":{"formattedCitation":"(World Health Organization, 2019)","plainTextFormattedCitation":"(World Health Organization, 2019)","previouslyFormattedCitation":"(World Health Organization, 2019)"},"properties":{"noteIndex":0},"schema":"https://github.com/citation-style-language/schema/raw/master/csl-citation.json"}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(World Health Organization, 2019)</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.With the implementation of the SDGs, global momentum and commitment to addressing the problem of food security, child hunger and its correlates has grown. Given this backdrop, our exploration focuses specifically on child hunger and undernutrition, particularly in sub-Saharan Africa.</w:t>
      </w:r>
      <w:r w:rsidRPr="001C72A7">
        <w:rPr>
          <w:rFonts w:eastAsia="Times New Roman" w:cs="Times New Roman"/>
          <w:sz w:val="22"/>
          <w:szCs w:val="22"/>
          <w:lang w:val="en"/>
        </w:rPr>
        <w:t xml:space="preserve"> This focus is premised on the assumption that a</w:t>
      </w:r>
      <w:r w:rsidRPr="001C72A7">
        <w:rPr>
          <w:rFonts w:eastAsia="Times New Roman" w:cs="Times New Roman"/>
          <w:sz w:val="22"/>
          <w:szCs w:val="22"/>
          <w:highlight w:val="white"/>
          <w:lang w:val="en"/>
        </w:rPr>
        <w:t xml:space="preserve">lthough </w:t>
      </w:r>
      <w:r w:rsidRPr="001C72A7">
        <w:rPr>
          <w:rFonts w:eastAsia="Times New Roman" w:cs="Times New Roman"/>
          <w:sz w:val="22"/>
          <w:szCs w:val="22"/>
          <w:lang w:val="en"/>
        </w:rPr>
        <w:t xml:space="preserve">food insecurity is a global challenge affecting approximately 815 million people, sub-Saharan Africa is one of the regions with the highest prevalence of hunger </w:t>
      </w:r>
      <w:r w:rsidRPr="001C72A7">
        <w:rPr>
          <w:rFonts w:eastAsia="Times New Roman" w:cs="Times New Roman"/>
          <w:sz w:val="22"/>
          <w:szCs w:val="22"/>
          <w:lang w:val="en"/>
        </w:rPr>
        <w:fldChar w:fldCharType="begin" w:fldLock="1"/>
      </w:r>
      <w:r w:rsidRPr="001C72A7">
        <w:rPr>
          <w:rFonts w:eastAsia="Times New Roman" w:cs="Times New Roman"/>
          <w:sz w:val="22"/>
          <w:szCs w:val="22"/>
          <w:lang w:val="en"/>
        </w:rPr>
        <w:instrText>ADDIN CSL_CITATION {"citationItems":[{"id":"ITEM-1","itemData":{"DOI":"10.1080/04597238908460834","ISBN":"9789251096291","ISSN":"0459-7230","abstract":"The challenge of building resilience to shocks and stresses The theme of the 2016 edition of the Regional Overview of Food Security and Nutrition in Africa is: “The challenge of building resilience to shocks and stresses”. This 2016 edition of the report introduces a new tool to help enhance our understanding of food security and nutritional status, with the view to inform policy-planning and effective implementation.","author":[{"dropping-particle":"","family":"FAO (Food and Agriculture Organization)","given":"","non-dropping-particle":"","parse-names":false,"suffix":""}],"id":"ITEM-1","issued":{"date-parts":[["2017"]]},"number-of-pages":"52","title":"Africa regional overview of food security and nutrition 2016. The challenges of building resilience to shocks and stresses","type":"book"},"uris":["http://www.mendeley.com/documents/?uuid=b3e95a40-360d-42c7-bbc8-db5787e39da0"]}],"mendeley":{"formattedCitation":"(FAO (Food and Agriculture Organization), 2017)","plainTextFormattedCitation":"(FAO (Food and Agriculture Organization), 2017)","previouslyFormattedCitation":"(FAO (Food and Agriculture Organization), 2017)"},"properties":{"noteIndex":0},"schema":"https://github.com/citation-style-language/schema/raw/master/csl-citation.json"}</w:instrText>
      </w:r>
      <w:r w:rsidRPr="001C72A7">
        <w:rPr>
          <w:rFonts w:eastAsia="Times New Roman" w:cs="Times New Roman"/>
          <w:sz w:val="22"/>
          <w:szCs w:val="22"/>
          <w:lang w:val="en"/>
        </w:rPr>
        <w:fldChar w:fldCharType="separate"/>
      </w:r>
      <w:r w:rsidRPr="001C72A7">
        <w:rPr>
          <w:rFonts w:eastAsia="Times New Roman" w:cs="Times New Roman"/>
          <w:noProof/>
          <w:sz w:val="22"/>
          <w:szCs w:val="22"/>
          <w:lang w:val="en"/>
        </w:rPr>
        <w:t>(FAO (Food and Agriculture Organization), 2017)</w:t>
      </w:r>
      <w:r w:rsidRPr="001C72A7">
        <w:rPr>
          <w:rFonts w:eastAsia="Times New Roman" w:cs="Times New Roman"/>
          <w:sz w:val="22"/>
          <w:szCs w:val="22"/>
          <w:lang w:val="en"/>
        </w:rPr>
        <w:fldChar w:fldCharType="end"/>
      </w:r>
      <w:r w:rsidRPr="001C72A7">
        <w:rPr>
          <w:rFonts w:eastAsia="Times New Roman" w:cs="Times New Roman"/>
          <w:sz w:val="22"/>
          <w:szCs w:val="22"/>
          <w:lang w:val="en"/>
        </w:rPr>
        <w:t xml:space="preserve">. </w:t>
      </w:r>
      <w:r w:rsidRPr="001C72A7">
        <w:rPr>
          <w:rFonts w:eastAsia="Times New Roman" w:cs="Times New Roman"/>
          <w:sz w:val="22"/>
          <w:szCs w:val="22"/>
          <w:highlight w:val="white"/>
          <w:lang w:val="en"/>
        </w:rPr>
        <w:t xml:space="preserve">These regions face the triple burden of malnutrition, undernutrition, and stunting in children under the age of five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{"citationItems":[{"id":"ITEM-1","itemData":{"abstract":"Extreme climate events – mainly drought – were also major triggers of food crises in 23 countries with over 39 million food-insecure people in need of urgent assistance in 2017.","author":[{"dropping-particle":"","family":"FSIN","given":"","non-dropping-particle":"","parse-names":false,"suffix":""}],"container-title":"Food Security Information Network","id":"ITEM-1","issued":{"date-parts":[["2018"]]},"page":"202","title":"Global Report on Food Crisis 2018","type":"article-journal"},"uris":["http://www.mendeley.com/documents/?uuid=daab04a1-7b78-45b7-a815-d227b7e94ef1"]},{"id":"ITEM-2","itemData":{"URL":"https://www.who.int/emergencies/response-plans/2017/sudan/en/","accessed":{"date-parts":[["2020","11","4"]]},"author":[{"dropping-particle":"","family":"WHO","given":"","non-dropping-particle":"","parse-names":false,"suffix":""}],"container-title":"World Health Organization","id":"ITEM-2","issued":{"date-parts":[["2017"]]},"title":"Sudan Humanitarian Response Plan","type":"webpage"},"uris":["http://www.mendeley.com/documents/?uuid=6b841910-2c7f-4c0f-9790-d74ff8a77e59"]},{"id":"ITEM-3","itemData":{"DOI":"10.1080/04597238908460834","ISBN":"9789251096291","ISSN":"0459-7230","abstract":"The challenge of building resilience to shocks and stresses The theme of the 2016 edition of the Regional Overview of Food Security and Nutrition in Africa is: “The challenge of building resilience to shocks and stresses”. This 2016 edition of the report introduces a new tool to help enhance our understanding of food security and nutritional status, with the view to inform policy-planning and effective implementation.","author":[{"dropping-particle":"","family":"FAO (Food and Agriculture Organization)","given":"","non-dropping-particle":"","parse-names":false,"suffix":""}],"id":"ITEM-3","issued":{"date-parts":[["2017"]]},"number-of-pages":"52","title":"Africa regional overview of food security and nutrition 2016. The challenges of building resilience to shocks and stresses","type":"book"},"uris":["http://www.mendeley.com/documents/?uuid=b3e95a40-360d-42c7-bbc8-db5787e39da0"]}],"mendeley":{"formattedCitation":"(FAO (Food and Agriculture Organization), 2017; WHO, 2017; FSIN, 2018)","plainTextFormattedCitation":"(FAO (Food and Agriculture Organization), 2017; WHO, 2017; FSIN, 2018)","previouslyFormattedCitation":"(FAO (Food and Agriculture Organization), 2017; WHO, 2017; FSIN, 2018)"},"properties":{"noteIndex":0},"schema":"https://github.com/citation-style-language/schema/raw/master/csl-citation.json"}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(FAO (Food and Agriculture Organization), 2017; WHO, 2017; FSIN, 2018)</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Early childhood is a critical stage of human development, which affects not only health outcomes, but also psychosocial functioning and overall well-being throughout the life course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{"citationItems":[{"id":"ITEM-1","itemData":{"DOI":"10.1196/annals.1425.001","ISSN":"17496632","PMID":"17954670","abstract":"Access to food is essential to optimal development and function in children and adults. Food security, food insecurity, and hunger have been defined and a U.S. Food Security Scale was developed and is administered annually by the Census Bureau in its Current Population Survey. The eight child-referenced items now make up a Children's Food Security Scale. This review summarizes the data on household and children's food insecurity and its relationship with children's health and development and with mothers' depressive symptoms. It is demonstrable that food insecurity is a prevalent risk to the growth, health, cognitive, and behavioral potential of America's poor and near-poor children. Infants and toddlers in particular are at risk from food insecurity even at the lowest levels of severity, and the data indicate an \"invisible epidemic\" of a serious condition. Food insecurity is readily measured and rapidly remediable through policy changes, which a country like the United States, unlike many others, is fully capable of implementing. The food and distribution resources exist; the only constraint is political will. © 2008 New York Academy of Sciences.","author":[{"dropping-particle":"","family":"Cook","given":"John T.","non-dropping-particle":"","parse-names":false,"suffix":""},{"dropping-particle":"","family":"Frank","given":"Deborah A.","non-dropping-particle":"","parse-names":false,"suffix":""}],"container-title":"Annals of the New York Academy of Sciences","id":"ITEM-1","issued":{"date-parts":[["2008"]]},"page":"193-209","title":"Food security, poverty, and human development in the United States","type":"article-journal","volume":"1136"},"uris":["http://www.mendeley.com/documents/?uuid=f6bcffcd-a062-46d9-ae23-c93f2de67ec3"]},{"id":"ITEM-2","itemData":{"DOI":"10.1542/peds.2006-0239","ISSN":"00314005","PMID":"16950971","abstract":"OBJECTIVES. We sought to determine if the prevalence of depression and anxiety in mothers and the prevalence of behavior problems in preschool-aged children are more common when mothers report being food insecure. METHODS. A cross-sectional survey of 2870 mothers of 3-year-old children was conducted in 2001-2003 in 18 large US cities. On the basis of the adult food-security scale calculated from the US Household Food Security Survey Module, mothers were categorized into 3 levels: fully food secure, marginally food secure, and food insecure. The 12-month prevalence in mothers of a major depressive episode and generalized anxiety disorder was assessed by the Composite International Diagnostic Interview-Short Form. A child behavior problem in ≥1 of 3 domains (aggressive, anxious/depressed, or inattention/hyperactivity) was based on the Child Behavior Checklist. RESULTS. Seventy-one percent of the respondents were fully food secure, 17% were marginally food secure, and 12% were food insecure. After adjustment for sociodemographic factors plus maternal physical health, alcohol use, drug use, prenatal smoking, and prenatal physical domestic violence, the percentage of mothers with either major depressive episode or generalized anxiety disorder increased with increasing food insecurity: 16.9%, 21.0%, and 30.3% across the 3 levels. Among children, after further adjustment for maternal major depressive episode and generalized anxiety disorder, the percentage with a behavior problem also increased with increasing food insecurity: 22.7%, 31.1%, and 36.7%. CONCLUSIONS. Mental health problems in mothers and children are more common when mothers are food insecure, a stressor that can potentially be addressed by social policy. Copyright © 2006 by the American Academy of Pediatrics.","author":[{"dropping-particle":"","family":"Whitaker","given":"Robert C.","non-dropping-particle":"","parse-names":false,"suffix":""},{"dropping-particle":"","family":"Phillips","given":"Shannon M.","non-dropping-particle":"","parse-names":false,"suffix":""},{"dropping-particle":"","family":"Orzol","given":"Sean M.","non-dropping-particle":"","parse-names":false,"suffix":""}],"container-title":"Pediatrics","id":"ITEM-2","issue":"3","issued":{"date-parts":[["2006"]]},"title":"Food insecurity and the risks of depression and anxiety in mothers and behavior problems in their preschool-aged children","type":"article-journal","volume":"118"},"uris":["http://www.mendeley.com/documents/?uuid=a4621400-5e8d-4c4e-8f63-72d82c10ad8d"]}],"mendeley":{"formattedCitation":"(Whitaker, Phillips and Orzol, 2006; Cook and Frank, 2008)","plainTextFormattedCitation":"(Whitaker, Phillips and Orzol, 2006; Cook and Frank, 2008)","previouslyFormattedCitation":"(Whitaker, Phillips and Orzol, 2006; Cook and Frank, 2008)"},"properties":{"noteIndex":0},"schema":"https://github.com/citation-style-language/schema/raw/master/csl-citation.json"}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(Whitaker, Phillips and Orzol, 2006; Cook and Frank, 2008)</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Child undernutrition also compromises future productivity and life potential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{"citationItems":[{"id":"ITEM-1","itemData":{"DOI":"10.1007/s00181-014-0867-x","ISSN":"03777332","abstract":"© 2014, Springer-Verlag Berlin Heidelberg. Food security and obesity represent two of the most significant public health issues. However, little is known about how these issues are intertwined. Here, we assess the causal relationship between food security during early childhood and relatively long-run measures of child health. Identifying this causal relationship is complicated due to endogenous selection and misclassification errors. To overcome these difficulties, we utilize a nonparametric bounds approach along with data from the ECLS-K and ECLS-B. In the absence of misclassification, the analysis suggests a positive (unconditional) association, albeit statistically insignificant, between food insecurity and future child obesity. However, in the absence of strong assumptions concerning the selection and misclassification processes, we are unable to rule out the possibility of no long-run causal relationship between food security and child obesity.","author":[{"dropping-particle":"","family":"Millimet","given":"Daniel L.","non-dropping-particle":"","parse-names":false,"suffix":""},{"dropping-particle":"","family":"Roy","given":"Manan","non-dropping-particle":"","parse-names":false,"suffix":""}],"container-title":"Empirical Economics","id":"ITEM-1","issue":"1","issued":{"date-parts":[["2015"]]},"page":"83-141","title":"Partial identification of the long-run causal effect of food security on child health","type":"article-journal","volume":"48"},"uris":["http://www.mendeley.com/documents/?uuid=279b9f4c-32c8-4aa9-a1f8-5130f8cd082b"]},{"id":"ITEM-2","itemData":{"DOI":"10.1093/pch/20.2.89","ISSN":"12057088","abstract":"Food insecurity and hunger are significant problems in Canada, with millions of Canadians experiencing some level of food insecurity. The purpose of the present article is to review what is currently known about the effects of food insecurity and hunger on children. Longitudinal studies in Canada indicate that hunger is related to poor health outcomes, including a higher risk of depression and suicidal ideation in adolescents, and chronic conditions, particularly asthma. In addition, nutrient deficiencies, such as iron deficiency, are known to impair learning and cause decreased productivity in school-age children, and maternal depressive disorders. School-based nutrition programs and innovations, such as subsidized food (apples, cheese, soy nuts, carrots and broccoli), are an essential immediate need, but long-term solutions lie in adequate incomes for families. L’insécurité alimentaire et la faim sont de graves problèmes au Canada, car des millions de Canadiens présentent un certain niveau d’insécurité alimentaire. Le présent article vise à analyser ce que l’on sait des effets de l’insécurité alimentaire et de la faim chez les enfants. D’après des études longitudinales au Canada, la faim est liée à une mauvaise santé, y compris un risque plus élevé de dépression et d’idéation suicidaire à l’adolescence, ainsi que de maladies chroniques, notamment l’asthme. En outre, on sait que les carences nutritionnelles, telles que l’anémie ferriprive, nuisent à l’apprentissage et sont responsables d’une diminution de la productivité chez les enfants d’âge scolaire, ainsi que de troubles dépressifs chez les mères. Les programmes et les innovations en milieu scolaire, comme les denrées subventionnées (pommes, fromage, noix de soja, carottes et brocoli) représentent un besoin immédiat essentiel, mais les solutions à long terme dépendent d’un revenu suffisant pour les familles.","author":[{"dropping-particle":"","family":"Ke","given":"Janice","non-dropping-particle":"","parse-names":false,"suffix":""},{"dropping-particle":"","family":"Ford-Jones","given":"Elizabeth Lee","non-dropping-particle":"","parse-names":false,"suffix":""}],"container-title":"Paediatrics and Child Health (Canada)","id":"ITEM-2","issue":"2","issued":{"date-parts":[["2015"]]},"page":"89-91","title":"Food insecurity and hunger: A review of the effects on children's health and behaviour","type":"article-journal","volume":"20"},"uris":["http://www.mendeley.com/documents/?uuid=76db52b7-6380-45b2-be6e-61ede9e3739d"]}],"mendeley":{"formattedCitation":"(Ke and Ford-Jones, 2015; Millimet and Roy, 2015)","plainTextFormattedCitation":"(Ke and Ford-Jones, 2015; Millimet and Roy, 2015)","previouslyFormattedCitation":"(Ke and Ford-Jones, 2015; Millimet and Roy, 2015)"},"properties":{"noteIndex":0},"schema":"https://github.com/citation-style-language/schema/raw/master/csl-citation.json"}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(Ke and Ford-Jones, 2015; Millimet and Roy, 2015)</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Addressing this phenomenon, a basic human right and key health issue, starts with understanding regional and country performance on Sustainable Development Goal 2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URL":"https://www.un.org/sustainabledevelopment/hunger/","author":[{"dropping-particle":"","family":"UN","given":"","non-dropping-particle":"","parse-names":false,"suffix":""}],"id":"ITEM-1","issued":{"date-parts":[["2019"]]},"title":"Goal 2: Zero Hunger; Sustainable Development Goals","type":"webpage"},"uris":["http://www.mendeley.com/documents/?uuid=40c3b1c5-5b47-4587-b16a-ef56c9d3e8d4"]}],"mendeley":{"formattedCitation":"(UN, 2019)","plainTextFormattedCitation":"(UN, 2019)","previouslyFormattedCitation":"(UN, 2019)"},"properties":{"noteIndex":0},"schema":"https://github.com/citation-style-language/schema/raw/master/csl-citation.json"}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(UN, 2019)</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w:t>
      </w:r>
    </w:p>
    <w:p w:rsidR="001C72A7" w:rsidRPr="001C72A7" w:rsidRDefault="001C72A7" w:rsidP="001C72A7">
      <w:pPr>
        <w:pBdr>
          <w:top w:val="nil"/>
          <w:left w:val="nil"/>
          <w:bottom w:val="none" w:sz="0" w:space="1" w:color="000000"/>
          <w:right w:val="nil"/>
          <w:between w:val="nil"/>
        </w:pBdr>
        <w:spacing w:before="160" w:line="360" w:lineRule="auto"/>
        <w:ind w:right="160"/>
        <w:rPr>
          <w:rFonts w:eastAsia="Times New Roman" w:cs="Times New Roman"/>
          <w:sz w:val="22"/>
          <w:szCs w:val="22"/>
          <w:highlight w:val="white"/>
          <w:lang w:val="en"/>
        </w:rPr>
      </w:pPr>
      <w:r w:rsidRPr="001C72A7">
        <w:rPr>
          <w:rFonts w:eastAsia="Times New Roman" w:cs="Times New Roman"/>
          <w:sz w:val="22"/>
          <w:szCs w:val="22"/>
          <w:lang w:val="en"/>
        </w:rPr>
        <w:t>W</w:t>
      </w:r>
      <w:r w:rsidRPr="001C72A7">
        <w:rPr>
          <w:rFonts w:eastAsia="Times New Roman" w:cs="Times New Roman"/>
          <w:sz w:val="22"/>
          <w:szCs w:val="22"/>
          <w:highlight w:val="white"/>
          <w:lang w:val="en"/>
        </w:rPr>
        <w:t>e provide a comprehensive overview of progress or lack thereof, with respect to four of the nine indicators under SDG2 (Zero Hunger): 2.1.1 Prevalence of undernourishment, 2.2.1 Prevalence of stunting, 2.2.2 Prevalence of malnutrition, and 2.1.2 Prevalence of food insecurity. In particular, we</w:t>
      </w:r>
      <w:r w:rsidRPr="001C72A7">
        <w:rPr>
          <w:rFonts w:eastAsia="Times New Roman" w:cs="Times New Roman"/>
          <w:sz w:val="22"/>
          <w:szCs w:val="22"/>
          <w:lang w:val="en"/>
        </w:rPr>
        <w:t xml:space="preserve"> seek to highlight the extent of food insecurity in SSA, pathways to food insecurity, and benchmark performance on undernourishment, child malnutrition (wasting and overweight) and stunting</w:t>
      </w:r>
      <w:r w:rsidRPr="001C72A7">
        <w:rPr>
          <w:rFonts w:eastAsia="Times New Roman" w:cs="Times New Roman"/>
          <w:sz w:val="22"/>
          <w:szCs w:val="22"/>
          <w:highlight w:val="white"/>
          <w:lang w:val="en"/>
        </w:rPr>
        <w:t xml:space="preserve">. </w:t>
      </w:r>
    </w:p>
    <w:p w:rsidR="001C72A7" w:rsidRPr="001C72A7" w:rsidRDefault="001C72A7" w:rsidP="001C72A7">
      <w:pPr>
        <w:pBdr>
          <w:bottom w:val="none" w:sz="0" w:space="1" w:color="000000"/>
        </w:pBdr>
        <w:spacing w:before="160" w:line="240" w:lineRule="auto"/>
        <w:ind w:right="160"/>
        <w:rPr>
          <w:rFonts w:eastAsia="Times New Roman" w:cs="Times New Roman"/>
          <w:b/>
          <w:sz w:val="22"/>
          <w:szCs w:val="22"/>
          <w:lang w:val="en"/>
        </w:rPr>
      </w:pPr>
      <w:r w:rsidRPr="001C72A7">
        <w:rPr>
          <w:rFonts w:eastAsia="Times New Roman" w:cs="Times New Roman"/>
          <w:b/>
          <w:sz w:val="22"/>
          <w:szCs w:val="22"/>
          <w:lang w:val="en"/>
        </w:rPr>
        <w:t>A Review of the literature</w:t>
      </w:r>
    </w:p>
    <w:p w:rsidR="001C72A7" w:rsidRPr="001C72A7" w:rsidRDefault="001C72A7" w:rsidP="001C72A7">
      <w:pPr>
        <w:pBdr>
          <w:top w:val="nil"/>
          <w:left w:val="nil"/>
          <w:bottom w:val="none" w:sz="0" w:space="1" w:color="000000"/>
          <w:right w:val="nil"/>
          <w:between w:val="nil"/>
        </w:pBdr>
        <w:spacing w:before="160" w:line="360" w:lineRule="auto"/>
        <w:ind w:right="160"/>
        <w:rPr>
          <w:rFonts w:eastAsia="Times New Roman" w:cs="Times New Roman"/>
          <w:i/>
          <w:sz w:val="22"/>
          <w:szCs w:val="22"/>
          <w:highlight w:val="white"/>
          <w:lang w:val="en"/>
        </w:rPr>
      </w:pPr>
      <w:r w:rsidRPr="001C72A7">
        <w:rPr>
          <w:rFonts w:eastAsia="Times New Roman" w:cs="Times New Roman"/>
          <w:i/>
          <w:sz w:val="22"/>
          <w:szCs w:val="22"/>
          <w:highlight w:val="white"/>
          <w:lang w:val="en"/>
        </w:rPr>
        <w:t>Sustainable Development Goal 2</w:t>
      </w:r>
    </w:p>
    <w:p w:rsidR="001C72A7" w:rsidRPr="001C72A7" w:rsidRDefault="001C72A7" w:rsidP="001C72A7">
      <w:pPr>
        <w:pBdr>
          <w:top w:val="nil"/>
          <w:left w:val="nil"/>
          <w:bottom w:val="none" w:sz="0" w:space="1" w:color="000000"/>
          <w:right w:val="nil"/>
          <w:between w:val="nil"/>
        </w:pBdr>
        <w:spacing w:before="160" w:line="360" w:lineRule="auto"/>
        <w:ind w:right="160"/>
        <w:rPr>
          <w:rFonts w:eastAsia="Times New Roman" w:cs="Times New Roman"/>
          <w:sz w:val="22"/>
          <w:szCs w:val="22"/>
          <w:highlight w:val="white"/>
          <w:lang w:val="en"/>
        </w:rPr>
      </w:pPr>
      <w:r w:rsidRPr="001C72A7">
        <w:rPr>
          <w:rFonts w:eastAsia="Times New Roman" w:cs="Times New Roman"/>
          <w:sz w:val="22"/>
          <w:szCs w:val="22"/>
          <w:highlight w:val="white"/>
          <w:lang w:val="en"/>
        </w:rPr>
        <w:t xml:space="preserve">SDG 2 (Zero Hunger) reaffirms the right of people everywhere to adequate safe and nutritious food. The goal is organized under five targets accompanied by nine indicators (see Table 1 below). Under SDG2, world governments are tasked with the mandate to end hunger, achieve food security, and improve nutrition by 2030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{"citationItems":[{"id":"ITEM-1","itemData":{"DOI":"10.1016/j.worlddev.2019.02.004","ISSN":"18735991","abstract":"Globally, industrial agriculture threatens critical ecosystem processes on which crop production depends, while 815 million people are undernourished and many more suffer from malnutrition. The second Sustainable Development Goal (SDG 2), Zero Hunger, seeks to simultaneously address global environmental sustainability and food security challenges. We conducted an integrated literature review organized around three disciplinary perspectives central to realizing SDG 2: ecology and agricultural sciences, nutrition and public health, and political economy and policy science. Within each discipline we first draw on a wide range of literature to summarize the state of knowledge on effective pathways to achieve food security while ensuring the sustainability of food systems. We then conduct a comprehensive review of articles in each of these disciplines that discuss SDG 2, using the pathways we outline initially to frame our analysis. In particular, we ask whether the framing of SDG 2 is appropriate given current understandings of transitions to sustainable food systems. By applying a food systems lens, our review identifies several limitations in the way SDG 2 is applied by researchers including a productionist perspective, limited attention to ecological processes on farms, a definition of food security that lacks a food systems perspective, and a lack of attention to historical and structural factors that shape opportunities for equity and food security in different contexts. Finally, we consider possibilities for expanding the research agenda and associated implications for development practice. We argue that the pathway to achieving Zero Hunger should center on place-based, adaptive, participatory solutions that simultaneously attend to local institutional capacities, agroecosystem diversification and ecological management, and the quality of local diets. Two conceptual frameworks – social-ecological systems and sustainable diets – offer systems-based lenses for integrated analysis of agriculture and food security, which could inform the development of effective policies.","author":[{"dropping-particle":"","family":"Blesh","given":"Jennifer","non-dropping-particle":"","parse-names":false,"suffix":""},{"dropping-particle":"","family":"Hoey","given":"Lesli","non-dropping-particle":"","parse-names":false,"suffix":""},{"dropping-particle":"","family":"Jones","given":"Andrew D.","non-dropping-particle":"","parse-names":false,"suffix":""},{"dropping-particle":"","family":"Friedmann","given":"Harriet","non-dropping-particle":"","parse-names":false,"suffix":""},{"dropping-particle":"","family":"Perfecto","given":"Ivette","non-dropping-particle":"","parse-names":false,"suffix":""}],"container-title":"World Development","id":"ITEM-1","issued":{"date-parts":[["2019"]]},"page":"1-14","title":"Development pathways toward “zero hunger”","type":"article-journal","volume":"118"},"uris":["http://www.mendeley.com/documents/?uuid=d46dc0be-231c-46ab-99d3-edc31ea65064"]},{"id":"ITEM-2","itemData":{"URL":"https://www.un.org/sustainabledevelopment/hunger/","author":[{"dropping-particle":"","family":"UN","given":"","non-dropping-particle":"","parse-names":false,"suffix":""}],"id":"ITEM-2","issued":{"date-parts":[["2019"]]},"title":"Goal 2: Zero Hunger; Sustainable Development Goals","type":"webpage"},"uris":["http://www.mendeley.com/documents/?uuid=40c3b1c5-5b47-4587-b16a-ef56c9d3e8d4"]}],"mendeley":{"formattedCitation":"(Blesh &lt;i&gt;et al.&lt;/i&gt;, 2019; UN, 2019)","plainTextFormattedCitation":"(Blesh et al., 2019; UN, 2019)","previouslyFormattedCitation":"(Blesh &lt;i&gt;et al.&lt;/i&gt;, 2019; UN, 2019)"},"properties":{"noteIndex":0},"schema":"https://github.com/citation-style-language/schema/raw/master/csl-citation.json"}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 xml:space="preserve">(Blesh </w:t>
      </w:r>
      <w:r w:rsidRPr="001C72A7">
        <w:rPr>
          <w:rFonts w:eastAsia="Times New Roman" w:cs="Times New Roman"/>
          <w:i/>
          <w:noProof/>
          <w:sz w:val="22"/>
          <w:szCs w:val="22"/>
          <w:highlight w:val="white"/>
          <w:lang w:val="en"/>
        </w:rPr>
        <w:t>et al.</w:t>
      </w:r>
      <w:r w:rsidRPr="001C72A7">
        <w:rPr>
          <w:rFonts w:eastAsia="Times New Roman" w:cs="Times New Roman"/>
          <w:noProof/>
          <w:sz w:val="22"/>
          <w:szCs w:val="22"/>
          <w:highlight w:val="white"/>
          <w:lang w:val="en"/>
        </w:rPr>
        <w:t>, 2019; UN, 2019)</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This goal further acknowledges the importance of the intersectionality of sustainable agriculture, gender equality, rural poverty alleviation, healthy lifestyles, and climate action with food security and wellbeing. This nexus underscores the right to adequate food and the fundamental right to be free from hunger, as articulated in Article 11 of the International Covenant on Economic Social and Cultural Rights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{"citationItems":[{"id":"ITEM-1","itemData":{"DOI":"10.1017/CBO9780511575372.009","ISBN":"9780511575372","abstract":"In contrast with the International Covenant on Civil and Political Rights (the ‘ICCPR’) discussed in Chapter 2, its twin, the International Covenant on Economic, Social and Cultural Rights (the ‘ICESCR’ or simply ‘the Covenant’) contains no explicit reference to minorities. This is surprising, given that the concern of the ICESCR with cultural protection would more immediately bring minority protection concerns to mind. In the absence of an explicit reference to minorities, the initial question arises of whether the ICESCR is relevant to minority protection and what kind of protection the ICESCR grants. Persons belonging to minorities and minority groups would appear to be, by their very nature, likely victims of the violations of the rights which the ICESCR enshrines. The importance of the inclusion of the minority concept under the Covenant would further reside in the fact that especially economic and social aspects of minority protection remain the least developed, both conceptually and in practice. Hence, from a human rights perspective, these are the aspects which demand a higher degree of attention and reference points as to their interpretation. From the perspective of cultural protection, aspects of human rights protection which normally feature in international minority protection standards, such as the protection of language and educational rights and of national, ethnic, religious and linguistic identity are sometimes comprised in definitions of culture. However, even the term ‘culture’ is not clear-cut, but has been attributed a variety of meanings.","author":[{"dropping-particle":"","family":"UNOHCHR","given":"","non-dropping-particle":"","parse-names":false,"suffix":""}],"container-title":"International Covenant on Economic, Social and Cultural Rights","id":"ITEM-1","issue":"December 1966","issued":{"date-parts":[["1966"]]},"page":"213-248","title":"The United Nations international covenant on economic, social and cultural rights","type":"legislation"},"uris":["http://www.mendeley.com/documents/?uuid=ec89eabc-6782-4817-b487-264f44549ea9"]}],"mendeley":{"formattedCitation":"(UNOHCHR, 1966)","plainTextFormattedCitation":"(UNOHCHR, 1966)","previouslyFormattedCitation":"(UNOHCHR, 1966)"},"properties":{"noteIndex":0},"schema":"https://github.com/citation-style-language/schema/raw/master/csl-citation.json"}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(UNOHCHR, 1966)</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w:t>
      </w:r>
    </w:p>
    <w:p w:rsidR="001C72A7" w:rsidRDefault="001C72A7" w:rsidP="001C72A7">
      <w:pPr>
        <w:pBdr>
          <w:top w:val="nil"/>
          <w:left w:val="nil"/>
          <w:bottom w:val="none" w:sz="0" w:space="1" w:color="000000"/>
          <w:right w:val="nil"/>
          <w:between w:val="nil"/>
        </w:pBdr>
        <w:spacing w:before="160" w:line="360" w:lineRule="auto"/>
        <w:ind w:right="160"/>
        <w:rPr>
          <w:rFonts w:eastAsia="Times New Roman" w:cs="Times New Roman"/>
          <w:sz w:val="22"/>
          <w:szCs w:val="22"/>
          <w:highlight w:val="white"/>
          <w:lang w:val="en"/>
        </w:rPr>
      </w:pPr>
      <w:r w:rsidRPr="001C72A7">
        <w:rPr>
          <w:rFonts w:eastAsia="Times New Roman" w:cs="Times New Roman"/>
          <w:sz w:val="22"/>
          <w:szCs w:val="22"/>
          <w:highlight w:val="white"/>
          <w:lang w:val="en"/>
        </w:rPr>
        <w:t xml:space="preserve">Implementation of SDG2 is driven by governments with the support of multiple stakeholders. Monitoring and evaluation of progress occurs through an inclusive process at global, national, and regional levels overseen by the Committee on Food Security (CFS) under the jurisdiction of the Economic and Social Council (ECOSOC).  Nation status on food security is reported at a High-Level Political Forum on Sustainable Development, held annually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URL":"https://sustainabledevelopment.un.org/hlpf","accessed":{"date-parts":[["2020","5","19"]]},"author":[{"dropping-particle":"","family":"HLPF","given":"","non-dropping-particle":"","parse-names":false,"suffix":""}],"container-title":"UNSDG","id":"ITEM-1","issued":{"date-parts":[["2019"]]},"title":"High-level Political Forum .:. Sustainable Development Knowledge Platform","type":"webpage"},"uris":["http://www.mendeley.com/documents/?uuid=a0502920-e78e-36c7-a3d4-fe88fa12794e"]},{"id":"ITEM-2","itemData":{"URL":"https://sustainable-development-goals.iisd.org/country-data","accessed":{"date-parts":[["2020","5","19"]]},"author":[{"dropping-particle":"","family":"IISD","given":"","non-dropping-particle":"","parse-names":false,"suffix":""}],"container-title":"SDG INDICATOR PORTAL","id":"ITEM-2","issued":{"date-parts":[["0"]]},"title":"SDG Indicator Portal","type":"webpage"},"uris":["http://www.mendeley.com/documents/?uuid=74bf358a-1303-38e1-8cc6-5541b38a483b"]}],"mendeley":{"formattedCitation":"(IISD, no date; HLPF, 2019)","plainTextFormattedCitation":"(IISD, no date; HLPF, 2019)","previouslyFormattedCitation":"(IISD, no date; HLPF, 2019)"},"properties":{"noteIndex":0},"schema":"https://github.com/citation-style-language/schema/raw/master/csl-citation.json"}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(IISD, no date; HLPF, 2019)</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Table 1 presents the five targets and nine indicators providing a roadmap and assessment mechanism for SDG2. </w:t>
      </w:r>
    </w:p>
    <w:p w:rsidR="00E15475" w:rsidRDefault="00215F0B" w:rsidP="00E15475">
      <w:pPr>
        <w:pStyle w:val="Indent-Paragraph"/>
        <w:ind w:firstLine="0"/>
        <w:rPr>
          <w:b/>
          <w:lang w:val="en"/>
        </w:rPr>
      </w:pPr>
      <w:r w:rsidRPr="00E15475">
        <w:rPr>
          <w:lang w:val="en"/>
        </w:rPr>
        <w:t>Table</w:t>
      </w:r>
      <w:r w:rsidR="00E15475" w:rsidRPr="00E15475">
        <w:rPr>
          <w:lang w:val="en"/>
        </w:rPr>
        <w:t xml:space="preserve"> One: </w:t>
      </w:r>
      <w:r w:rsidR="00E15475" w:rsidRPr="00E15475">
        <w:rPr>
          <w:b/>
          <w:lang w:val="en"/>
        </w:rPr>
        <w:t>Sustainable Development Goal #II and associated indicators</w:t>
      </w:r>
    </w:p>
    <w:p w:rsidR="009A52A5" w:rsidRPr="00E15475" w:rsidRDefault="009A52A5" w:rsidP="00E15475">
      <w:pPr>
        <w:pStyle w:val="Indent-Paragraph"/>
        <w:ind w:firstLine="0"/>
        <w:rPr>
          <w:b/>
          <w:lang w:val="en"/>
        </w:rPr>
      </w:pPr>
    </w:p>
    <w:tbl>
      <w:tblPr>
        <w:tblStyle w:val="Tablaconcuadrcula"/>
        <w:tblW w:w="4390" w:type="dxa"/>
        <w:tblLook w:val="04A0" w:firstRow="1" w:lastRow="0" w:firstColumn="1" w:lastColumn="0" w:noHBand="0" w:noVBand="1"/>
      </w:tblPr>
      <w:tblGrid>
        <w:gridCol w:w="1980"/>
        <w:gridCol w:w="2410"/>
      </w:tblGrid>
      <w:tr w:rsidR="00E15475" w:rsidRPr="00E15475" w:rsidTr="009A52A5">
        <w:trPr>
          <w:trHeight w:val="528"/>
        </w:trPr>
        <w:tc>
          <w:tcPr>
            <w:tcW w:w="4390" w:type="dxa"/>
            <w:gridSpan w:val="2"/>
          </w:tcPr>
          <w:p w:rsidR="00E15475" w:rsidRPr="00E15475" w:rsidRDefault="00E15475" w:rsidP="00E15475">
            <w:pPr>
              <w:pStyle w:val="Indent-Paragraph"/>
              <w:ind w:firstLine="0"/>
              <w:rPr>
                <w:lang w:val="en"/>
              </w:rPr>
            </w:pPr>
            <w:r w:rsidRPr="00E15475">
              <w:rPr>
                <w:lang w:val="en"/>
              </w:rPr>
              <w:t>Goal 2 Zero Hunger: End hunger, achieve food security and  improved nutrition and promote sustainable agriculture</w:t>
            </w:r>
          </w:p>
        </w:tc>
      </w:tr>
      <w:tr w:rsidR="00E15475" w:rsidRPr="00E15475" w:rsidTr="009A52A5">
        <w:trPr>
          <w:trHeight w:val="256"/>
        </w:trPr>
        <w:tc>
          <w:tcPr>
            <w:tcW w:w="1980" w:type="dxa"/>
          </w:tcPr>
          <w:p w:rsidR="00E15475" w:rsidRPr="00E15475" w:rsidRDefault="00E15475" w:rsidP="00E15475">
            <w:pPr>
              <w:pStyle w:val="Indent-Paragraph"/>
              <w:ind w:firstLine="0"/>
              <w:rPr>
                <w:lang w:val="en"/>
              </w:rPr>
            </w:pPr>
            <w:r w:rsidRPr="00E15475">
              <w:rPr>
                <w:lang w:val="en"/>
              </w:rPr>
              <w:t>Target</w:t>
            </w:r>
          </w:p>
        </w:tc>
        <w:tc>
          <w:tcPr>
            <w:tcW w:w="2410" w:type="dxa"/>
          </w:tcPr>
          <w:p w:rsidR="00E15475" w:rsidRPr="00E15475" w:rsidRDefault="00E15475" w:rsidP="00E15475">
            <w:pPr>
              <w:pStyle w:val="Indent-Paragraph"/>
              <w:ind w:firstLine="0"/>
              <w:rPr>
                <w:lang w:val="en"/>
              </w:rPr>
            </w:pPr>
            <w:r w:rsidRPr="00E15475">
              <w:rPr>
                <w:lang w:val="en"/>
              </w:rPr>
              <w:t>Indicators</w:t>
            </w:r>
          </w:p>
        </w:tc>
      </w:tr>
      <w:tr w:rsidR="00E15475" w:rsidRPr="00E15475" w:rsidTr="009A52A5">
        <w:trPr>
          <w:trHeight w:val="7697"/>
        </w:trPr>
        <w:tc>
          <w:tcPr>
            <w:tcW w:w="1980" w:type="dxa"/>
          </w:tcPr>
          <w:p w:rsidR="00E15475" w:rsidRPr="00E15475" w:rsidRDefault="00E15475" w:rsidP="00E15475">
            <w:pPr>
              <w:pStyle w:val="Indent-Paragraph"/>
              <w:ind w:firstLine="0"/>
              <w:rPr>
                <w:lang w:val="en"/>
              </w:rPr>
            </w:pPr>
            <w:r w:rsidRPr="00E15475">
              <w:rPr>
                <w:lang w:val="en"/>
              </w:rPr>
              <w:t>2:1 By 2030, end hunger</w:t>
            </w:r>
            <w:r w:rsidR="00024275">
              <w:rPr>
                <w:lang w:val="en"/>
              </w:rPr>
              <w:t>.</w:t>
            </w:r>
          </w:p>
          <w:p w:rsidR="00E26B03" w:rsidRDefault="00E26B03" w:rsidP="00E15475">
            <w:pPr>
              <w:pStyle w:val="Indent-Paragraph"/>
              <w:ind w:firstLine="0"/>
              <w:rPr>
                <w:lang w:val="en"/>
              </w:rPr>
            </w:pPr>
          </w:p>
          <w:p w:rsidR="00E26B03" w:rsidRDefault="00E26B03" w:rsidP="00E15475">
            <w:pPr>
              <w:pStyle w:val="Indent-Paragraph"/>
              <w:ind w:firstLine="0"/>
              <w:rPr>
                <w:lang w:val="en"/>
              </w:rPr>
            </w:pPr>
          </w:p>
          <w:p w:rsidR="00E26B03" w:rsidRDefault="00E26B03" w:rsidP="00E15475">
            <w:pPr>
              <w:pStyle w:val="Indent-Paragraph"/>
              <w:ind w:firstLine="0"/>
              <w:rPr>
                <w:lang w:val="en"/>
              </w:rPr>
            </w:pPr>
          </w:p>
          <w:p w:rsidR="00E26B03" w:rsidRDefault="00E26B03" w:rsidP="00E15475">
            <w:pPr>
              <w:pStyle w:val="Indent-Paragraph"/>
              <w:ind w:firstLine="0"/>
              <w:rPr>
                <w:lang w:val="en"/>
              </w:rPr>
            </w:pPr>
          </w:p>
          <w:p w:rsidR="00E26B03" w:rsidRDefault="00E26B03" w:rsidP="00E15475">
            <w:pPr>
              <w:pStyle w:val="Indent-Paragraph"/>
              <w:ind w:firstLine="0"/>
              <w:rPr>
                <w:lang w:val="en"/>
              </w:rPr>
            </w:pPr>
          </w:p>
          <w:p w:rsidR="00E26B03" w:rsidRDefault="00E15475" w:rsidP="00E15475">
            <w:pPr>
              <w:pStyle w:val="Indent-Paragraph"/>
              <w:ind w:firstLine="0"/>
              <w:rPr>
                <w:lang w:val="en"/>
              </w:rPr>
            </w:pPr>
            <w:r>
              <w:rPr>
                <w:lang w:val="en"/>
              </w:rPr>
              <w:t>2:2</w:t>
            </w:r>
            <w:r w:rsidR="00E26B03">
              <w:rPr>
                <w:lang w:val="en"/>
              </w:rPr>
              <w:t xml:space="preserve"> </w:t>
            </w:r>
            <w:r w:rsidR="00E26B03" w:rsidRPr="00E26B03">
              <w:rPr>
                <w:lang w:val="en"/>
              </w:rPr>
              <w:t xml:space="preserve">By 2030, end all </w:t>
            </w:r>
            <w:r w:rsidR="00E26B03">
              <w:rPr>
                <w:lang w:val="en"/>
              </w:rPr>
              <w:t xml:space="preserve"> </w:t>
            </w:r>
          </w:p>
          <w:p w:rsidR="00E15475" w:rsidRDefault="00E26B03" w:rsidP="00E15475">
            <w:pPr>
              <w:pStyle w:val="Indent-Paragraph"/>
              <w:ind w:firstLine="0"/>
              <w:rPr>
                <w:lang w:val="en"/>
              </w:rPr>
            </w:pPr>
            <w:r>
              <w:rPr>
                <w:lang w:val="en"/>
              </w:rPr>
              <w:t xml:space="preserve">       </w:t>
            </w:r>
            <w:r w:rsidRPr="00E26B03">
              <w:rPr>
                <w:lang w:val="en"/>
              </w:rPr>
              <w:t>forms of malnutrition</w:t>
            </w:r>
            <w:r w:rsidR="00024275">
              <w:rPr>
                <w:lang w:val="en"/>
              </w:rPr>
              <w:t>.</w:t>
            </w:r>
          </w:p>
          <w:p w:rsidR="00E26B03" w:rsidRDefault="00E26B03" w:rsidP="00E15475">
            <w:pPr>
              <w:pStyle w:val="Indent-Paragraph"/>
              <w:ind w:firstLine="0"/>
              <w:rPr>
                <w:lang w:val="en"/>
              </w:rPr>
            </w:pPr>
          </w:p>
          <w:p w:rsidR="00E26B03" w:rsidRDefault="00E26B03" w:rsidP="00E15475">
            <w:pPr>
              <w:pStyle w:val="Indent-Paragraph"/>
              <w:ind w:firstLine="0"/>
              <w:rPr>
                <w:lang w:val="en"/>
              </w:rPr>
            </w:pPr>
          </w:p>
          <w:p w:rsidR="00E26B03" w:rsidRDefault="00E15475" w:rsidP="00E15475">
            <w:pPr>
              <w:pStyle w:val="Indent-Paragraph"/>
              <w:ind w:firstLine="0"/>
              <w:rPr>
                <w:lang w:val="en"/>
              </w:rPr>
            </w:pPr>
            <w:r>
              <w:rPr>
                <w:lang w:val="en"/>
              </w:rPr>
              <w:t>2:3</w:t>
            </w:r>
            <w:r w:rsidR="00E26B03">
              <w:rPr>
                <w:lang w:val="en"/>
              </w:rPr>
              <w:t xml:space="preserve"> </w:t>
            </w:r>
            <w:r w:rsidR="00E26B03" w:rsidRPr="00E26B03">
              <w:rPr>
                <w:lang w:val="en"/>
              </w:rPr>
              <w:t xml:space="preserve">By 2030, double the </w:t>
            </w:r>
          </w:p>
          <w:p w:rsidR="00E15475" w:rsidRDefault="00E26B03" w:rsidP="00E15475">
            <w:pPr>
              <w:pStyle w:val="Indent-Paragraph"/>
              <w:ind w:firstLine="0"/>
              <w:rPr>
                <w:lang w:val="en"/>
              </w:rPr>
            </w:pPr>
            <w:r>
              <w:rPr>
                <w:lang w:val="en"/>
              </w:rPr>
              <w:t xml:space="preserve">       </w:t>
            </w:r>
            <w:r w:rsidRPr="00E26B03">
              <w:rPr>
                <w:lang w:val="en"/>
              </w:rPr>
              <w:t xml:space="preserve">agricultural </w:t>
            </w:r>
            <w:r>
              <w:rPr>
                <w:lang w:val="en"/>
              </w:rPr>
              <w:t>p</w:t>
            </w:r>
            <w:r w:rsidRPr="00E26B03">
              <w:rPr>
                <w:lang w:val="en"/>
              </w:rPr>
              <w:t>roductivity</w:t>
            </w:r>
            <w:r w:rsidR="00024275">
              <w:rPr>
                <w:lang w:val="en"/>
              </w:rPr>
              <w:t>.</w:t>
            </w:r>
          </w:p>
          <w:p w:rsidR="00E26B03" w:rsidRDefault="00E26B03" w:rsidP="00E15475">
            <w:pPr>
              <w:pStyle w:val="Indent-Paragraph"/>
              <w:ind w:firstLine="0"/>
              <w:rPr>
                <w:lang w:val="en"/>
              </w:rPr>
            </w:pPr>
          </w:p>
          <w:p w:rsidR="00E26B03" w:rsidRDefault="00E26B03" w:rsidP="00E15475">
            <w:pPr>
              <w:pStyle w:val="Indent-Paragraph"/>
              <w:ind w:firstLine="0"/>
              <w:rPr>
                <w:lang w:val="en"/>
              </w:rPr>
            </w:pPr>
          </w:p>
          <w:p w:rsidR="00E26B03" w:rsidRDefault="00E26B03" w:rsidP="00E15475">
            <w:pPr>
              <w:pStyle w:val="Indent-Paragraph"/>
              <w:ind w:firstLine="0"/>
              <w:rPr>
                <w:lang w:val="en"/>
              </w:rPr>
            </w:pPr>
          </w:p>
          <w:p w:rsidR="00E26B03" w:rsidRDefault="00E26B03" w:rsidP="00E15475">
            <w:pPr>
              <w:pStyle w:val="Indent-Paragraph"/>
              <w:ind w:firstLine="0"/>
              <w:rPr>
                <w:lang w:val="en"/>
              </w:rPr>
            </w:pPr>
          </w:p>
          <w:p w:rsidR="00E26B03" w:rsidRDefault="00E26B03" w:rsidP="00E15475">
            <w:pPr>
              <w:pStyle w:val="Indent-Paragraph"/>
              <w:ind w:firstLine="0"/>
              <w:rPr>
                <w:lang w:val="en"/>
              </w:rPr>
            </w:pPr>
          </w:p>
          <w:p w:rsidR="00E26B03" w:rsidRDefault="00E15475" w:rsidP="00E15475">
            <w:pPr>
              <w:pStyle w:val="Indent-Paragraph"/>
              <w:ind w:firstLine="0"/>
              <w:rPr>
                <w:lang w:val="en"/>
              </w:rPr>
            </w:pPr>
            <w:r>
              <w:rPr>
                <w:lang w:val="en"/>
              </w:rPr>
              <w:t>2:4</w:t>
            </w:r>
            <w:r w:rsidR="00E26B03">
              <w:rPr>
                <w:lang w:val="en"/>
              </w:rPr>
              <w:t xml:space="preserve"> </w:t>
            </w:r>
            <w:r w:rsidR="00E26B03" w:rsidRPr="00E26B03">
              <w:rPr>
                <w:lang w:val="en"/>
              </w:rPr>
              <w:t xml:space="preserve">By 2030, ensure </w:t>
            </w:r>
          </w:p>
          <w:p w:rsidR="00E26B03" w:rsidRDefault="00E26B03" w:rsidP="00E15475">
            <w:pPr>
              <w:pStyle w:val="Indent-Paragraph"/>
              <w:ind w:firstLine="0"/>
              <w:rPr>
                <w:lang w:val="en"/>
              </w:rPr>
            </w:pPr>
            <w:r>
              <w:rPr>
                <w:lang w:val="en"/>
              </w:rPr>
              <w:t xml:space="preserve">       </w:t>
            </w:r>
            <w:r w:rsidRPr="00E26B03">
              <w:rPr>
                <w:lang w:val="en"/>
              </w:rPr>
              <w:t xml:space="preserve">sustainable food </w:t>
            </w:r>
          </w:p>
          <w:p w:rsidR="00E15475" w:rsidRDefault="00E26B03" w:rsidP="00E15475">
            <w:pPr>
              <w:pStyle w:val="Indent-Paragraph"/>
              <w:ind w:firstLine="0"/>
              <w:rPr>
                <w:lang w:val="en"/>
              </w:rPr>
            </w:pPr>
            <w:r>
              <w:rPr>
                <w:lang w:val="en"/>
              </w:rPr>
              <w:t xml:space="preserve">       </w:t>
            </w:r>
            <w:r w:rsidRPr="00E26B03">
              <w:rPr>
                <w:lang w:val="en"/>
              </w:rPr>
              <w:t>production systems</w:t>
            </w:r>
            <w:r w:rsidR="00024275">
              <w:rPr>
                <w:lang w:val="en"/>
              </w:rPr>
              <w:t>.</w:t>
            </w:r>
          </w:p>
          <w:p w:rsidR="00024275" w:rsidRDefault="00024275" w:rsidP="00E15475">
            <w:pPr>
              <w:pStyle w:val="Indent-Paragraph"/>
              <w:ind w:firstLine="0"/>
              <w:rPr>
                <w:lang w:val="en"/>
              </w:rPr>
            </w:pPr>
          </w:p>
          <w:p w:rsidR="00E26B03" w:rsidRDefault="00E15475" w:rsidP="00E15475">
            <w:pPr>
              <w:pStyle w:val="Indent-Paragraph"/>
              <w:ind w:firstLine="0"/>
              <w:rPr>
                <w:lang w:val="en"/>
              </w:rPr>
            </w:pPr>
            <w:r>
              <w:rPr>
                <w:lang w:val="en"/>
              </w:rPr>
              <w:t>2:5</w:t>
            </w:r>
            <w:r w:rsidR="00E26B03">
              <w:rPr>
                <w:lang w:val="en"/>
              </w:rPr>
              <w:t xml:space="preserve"> Enhance agricultural </w:t>
            </w:r>
          </w:p>
          <w:p w:rsidR="00E15475" w:rsidRPr="00E15475" w:rsidRDefault="00E26B03" w:rsidP="00E15475">
            <w:pPr>
              <w:pStyle w:val="Indent-Paragraph"/>
              <w:ind w:firstLine="0"/>
              <w:rPr>
                <w:lang w:val="en"/>
              </w:rPr>
            </w:pPr>
            <w:r>
              <w:rPr>
                <w:lang w:val="en"/>
              </w:rPr>
              <w:t xml:space="preserve">      Diversity by 2030</w:t>
            </w:r>
            <w:r w:rsidR="00024275">
              <w:rPr>
                <w:lang w:val="en"/>
              </w:rPr>
              <w:t>.</w:t>
            </w:r>
          </w:p>
        </w:tc>
        <w:tc>
          <w:tcPr>
            <w:tcW w:w="2410" w:type="dxa"/>
          </w:tcPr>
          <w:p w:rsidR="00E15475" w:rsidRDefault="00E26B03" w:rsidP="00E15475">
            <w:pPr>
              <w:pStyle w:val="Indent-Paragraph"/>
              <w:ind w:firstLine="0"/>
              <w:rPr>
                <w:lang w:val="en"/>
              </w:rPr>
            </w:pPr>
            <w:r w:rsidRPr="00E26B03">
              <w:rPr>
                <w:lang w:val="en"/>
              </w:rPr>
              <w:t xml:space="preserve">2.1.1 Prevalence of </w:t>
            </w:r>
            <w:r>
              <w:rPr>
                <w:lang w:val="en"/>
              </w:rPr>
              <w:t xml:space="preserve">  </w:t>
            </w:r>
            <w:r w:rsidRPr="00E26B03">
              <w:rPr>
                <w:lang w:val="en"/>
              </w:rPr>
              <w:t>Undernourishment</w:t>
            </w:r>
            <w:r w:rsidR="00024275">
              <w:rPr>
                <w:lang w:val="en"/>
              </w:rPr>
              <w:t>.</w:t>
            </w:r>
          </w:p>
          <w:p w:rsidR="00E26B03" w:rsidRDefault="00E26B03" w:rsidP="00E15475">
            <w:pPr>
              <w:pStyle w:val="Indent-Paragraph"/>
              <w:ind w:firstLine="0"/>
              <w:rPr>
                <w:lang w:val="en"/>
              </w:rPr>
            </w:pPr>
            <w:r w:rsidRPr="00E26B03">
              <w:rPr>
                <w:lang w:val="en"/>
              </w:rPr>
              <w:t>2.1.2 Prevalence of moderate or severe fo</w:t>
            </w:r>
            <w:r>
              <w:rPr>
                <w:lang w:val="en"/>
              </w:rPr>
              <w:t>od insecurity in the population.</w:t>
            </w:r>
          </w:p>
          <w:p w:rsidR="00E26B03" w:rsidRPr="00024275" w:rsidRDefault="00E26B03" w:rsidP="00E15475">
            <w:pPr>
              <w:pStyle w:val="Indent-Paragraph"/>
              <w:ind w:firstLine="0"/>
              <w:rPr>
                <w:sz w:val="16"/>
                <w:szCs w:val="16"/>
                <w:lang w:val="en"/>
              </w:rPr>
            </w:pPr>
          </w:p>
          <w:p w:rsidR="00E26B03" w:rsidRDefault="00E26B03" w:rsidP="00E15475">
            <w:pPr>
              <w:pStyle w:val="Indent-Paragraph"/>
              <w:ind w:firstLine="0"/>
              <w:rPr>
                <w:lang w:val="en"/>
              </w:rPr>
            </w:pPr>
            <w:r w:rsidRPr="00E26B03">
              <w:rPr>
                <w:lang w:val="en"/>
              </w:rPr>
              <w:t>2.2.1 Prevalence of stunting</w:t>
            </w:r>
          </w:p>
          <w:p w:rsidR="00E26B03" w:rsidRDefault="00E26B03" w:rsidP="00E15475">
            <w:pPr>
              <w:pStyle w:val="Indent-Paragraph"/>
              <w:ind w:firstLine="0"/>
              <w:rPr>
                <w:lang w:val="en"/>
              </w:rPr>
            </w:pPr>
            <w:r w:rsidRPr="00E26B03">
              <w:rPr>
                <w:lang w:val="en"/>
              </w:rPr>
              <w:t>2.2.2 Prevalence of malnutrition</w:t>
            </w:r>
            <w:r w:rsidR="00024275">
              <w:rPr>
                <w:lang w:val="en"/>
              </w:rPr>
              <w:t>.</w:t>
            </w:r>
          </w:p>
          <w:p w:rsidR="00E26B03" w:rsidRPr="00024275" w:rsidRDefault="00E26B03" w:rsidP="00E15475">
            <w:pPr>
              <w:pStyle w:val="Indent-Paragraph"/>
              <w:ind w:firstLine="0"/>
              <w:rPr>
                <w:sz w:val="16"/>
                <w:szCs w:val="16"/>
                <w:lang w:val="en"/>
              </w:rPr>
            </w:pPr>
          </w:p>
          <w:p w:rsidR="00E26B03" w:rsidRDefault="00E26B03" w:rsidP="00E15475">
            <w:pPr>
              <w:pStyle w:val="Indent-Paragraph"/>
              <w:ind w:firstLine="0"/>
              <w:rPr>
                <w:lang w:val="en"/>
              </w:rPr>
            </w:pPr>
            <w:r w:rsidRPr="00E26B03">
              <w:rPr>
                <w:lang w:val="en"/>
              </w:rPr>
              <w:t>2.3.</w:t>
            </w:r>
            <w:r w:rsidR="00024275">
              <w:rPr>
                <w:lang w:val="en"/>
              </w:rPr>
              <w:t>1 Volume of production per labo</w:t>
            </w:r>
            <w:r w:rsidRPr="00E26B03">
              <w:rPr>
                <w:lang w:val="en"/>
              </w:rPr>
              <w:t>r unit by classes of farming/pastoral/forestry enterprise size</w:t>
            </w:r>
            <w:r>
              <w:rPr>
                <w:lang w:val="en"/>
              </w:rPr>
              <w:t>.</w:t>
            </w:r>
          </w:p>
          <w:p w:rsidR="00E26B03" w:rsidRDefault="00E26B03" w:rsidP="00E15475">
            <w:pPr>
              <w:pStyle w:val="Indent-Paragraph"/>
              <w:ind w:firstLine="0"/>
              <w:rPr>
                <w:lang w:val="en"/>
              </w:rPr>
            </w:pPr>
            <w:r w:rsidRPr="00E26B03">
              <w:rPr>
                <w:lang w:val="en"/>
              </w:rPr>
              <w:t>2.3.2 Average income of small-scale food producers</w:t>
            </w:r>
            <w:r>
              <w:rPr>
                <w:lang w:val="en"/>
              </w:rPr>
              <w:t>.</w:t>
            </w:r>
          </w:p>
          <w:p w:rsidR="00024275" w:rsidRPr="00024275" w:rsidRDefault="00024275" w:rsidP="00E15475">
            <w:pPr>
              <w:pStyle w:val="Indent-Paragraph"/>
              <w:ind w:firstLine="0"/>
              <w:rPr>
                <w:sz w:val="16"/>
                <w:szCs w:val="16"/>
                <w:lang w:val="en"/>
              </w:rPr>
            </w:pPr>
          </w:p>
          <w:p w:rsidR="00024275" w:rsidRDefault="00024275" w:rsidP="00E15475">
            <w:pPr>
              <w:pStyle w:val="Indent-Paragraph"/>
              <w:ind w:firstLine="0"/>
              <w:rPr>
                <w:lang w:val="en"/>
              </w:rPr>
            </w:pPr>
            <w:r w:rsidRPr="00024275">
              <w:rPr>
                <w:lang w:val="en"/>
              </w:rPr>
              <w:t>2.4.1 Proportion of agricultural area under productive and sustainable agriculture</w:t>
            </w:r>
            <w:r>
              <w:rPr>
                <w:lang w:val="en"/>
              </w:rPr>
              <w:t>.</w:t>
            </w:r>
          </w:p>
          <w:p w:rsidR="00024275" w:rsidRPr="00024275" w:rsidRDefault="00024275" w:rsidP="00E15475">
            <w:pPr>
              <w:pStyle w:val="Indent-Paragraph"/>
              <w:ind w:firstLine="0"/>
              <w:rPr>
                <w:sz w:val="16"/>
                <w:szCs w:val="16"/>
                <w:lang w:val="en"/>
              </w:rPr>
            </w:pPr>
          </w:p>
          <w:p w:rsidR="00024275" w:rsidRDefault="00024275" w:rsidP="00E15475">
            <w:pPr>
              <w:pStyle w:val="Indent-Paragraph"/>
              <w:ind w:firstLine="0"/>
              <w:rPr>
                <w:lang w:val="en"/>
              </w:rPr>
            </w:pPr>
            <w:r w:rsidRPr="00024275">
              <w:rPr>
                <w:lang w:val="en"/>
              </w:rPr>
              <w:t>2.5.1 Number of plant and animal genetic resources for food and agriculture secured in either medium- or long-term conservation facilities</w:t>
            </w:r>
            <w:r>
              <w:rPr>
                <w:lang w:val="en"/>
              </w:rPr>
              <w:t>.</w:t>
            </w:r>
          </w:p>
          <w:p w:rsidR="00024275" w:rsidRDefault="00024275" w:rsidP="00E15475">
            <w:pPr>
              <w:pStyle w:val="Indent-Paragraph"/>
              <w:ind w:firstLine="0"/>
              <w:rPr>
                <w:lang w:val="en"/>
              </w:rPr>
            </w:pPr>
            <w:r w:rsidRPr="00024275">
              <w:rPr>
                <w:lang w:val="en"/>
              </w:rPr>
              <w:t>2.5.2 Proportion of local breeds classified as being at risk, not at risk or at unknown level of risk of extinction</w:t>
            </w:r>
            <w:r>
              <w:rPr>
                <w:lang w:val="en"/>
              </w:rPr>
              <w:t>.</w:t>
            </w:r>
          </w:p>
          <w:p w:rsidR="00024275" w:rsidRPr="00E15475" w:rsidRDefault="00024275" w:rsidP="00E15475">
            <w:pPr>
              <w:pStyle w:val="Indent-Paragraph"/>
              <w:ind w:firstLine="0"/>
              <w:rPr>
                <w:lang w:val="en"/>
              </w:rPr>
            </w:pPr>
          </w:p>
        </w:tc>
      </w:tr>
    </w:tbl>
    <w:p w:rsidR="00E15475" w:rsidRPr="00024275" w:rsidRDefault="00024275" w:rsidP="00215F0B">
      <w:pPr>
        <w:pStyle w:val="Indent-Paragraph"/>
        <w:ind w:firstLine="0"/>
        <w:rPr>
          <w:lang w:val="en"/>
        </w:rPr>
      </w:pPr>
      <w:r w:rsidRPr="00024275">
        <w:rPr>
          <w:lang w:val="en"/>
        </w:rPr>
        <w:t xml:space="preserve">Source: </w:t>
      </w:r>
      <w:r w:rsidRPr="00024275">
        <w:rPr>
          <w:lang w:val="en"/>
        </w:rPr>
        <w:fldChar w:fldCharType="begin" w:fldLock="1"/>
      </w:r>
      <w:r w:rsidRPr="00024275">
        <w:rPr>
          <w:lang w:val="en"/>
        </w:rPr>
        <w:instrText>ADDIN CSL_CITATION {"citationItems":[{"id":"ITEM-1","itemData":{"URL":"https://unstats.un.org/sdgs/indicators/regional-groups/","accessed":{"date-parts":[["2020","5","19"]]},"author":[{"dropping-particle":"","family":"UNSDG","given":"","non-dropping-particle":"","parse-names":false,"suffix":""},{"dropping-particle":"","family":"UN","given":"","non-dropping-particle":"","parse-names":false,"suffix":""}],"container-title":"Metadata repository","id":"ITEM-1","issued":{"date-parts":[["2020"]]},"title":"SDG Indicators — SDG Indicators","type":"webpage"},"uris":["http://www.mendeley.com/documents/?uuid=76945e16-3268-41b3-b83e-4da77d9c8fbd"]}],"mendeley":{"formattedCitation":"(UNSDG and UN, 2020)","plainTextFormattedCitation":"(UNSDG and UN, 2020)","previouslyFormattedCitation":"(UNSDG and UN, 2020)"},"properties":{"noteIndex":0},"schema":"https://github.com/citation-style-language/schema/raw/master/csl-citation.json"}</w:instrText>
      </w:r>
      <w:r w:rsidRPr="00024275">
        <w:rPr>
          <w:lang w:val="en"/>
        </w:rPr>
        <w:fldChar w:fldCharType="separate"/>
      </w:r>
      <w:r w:rsidRPr="00024275">
        <w:rPr>
          <w:lang w:val="en"/>
        </w:rPr>
        <w:t>(UNSDG and UN, 2020)</w:t>
      </w:r>
      <w:r w:rsidRPr="00024275">
        <w:rPr>
          <w:lang w:val="en"/>
        </w:rPr>
        <w:fldChar w:fldCharType="end"/>
      </w:r>
    </w:p>
    <w:p w:rsidR="001C72A7" w:rsidRPr="001C72A7" w:rsidRDefault="001C72A7" w:rsidP="001C72A7">
      <w:pPr>
        <w:pBdr>
          <w:bottom w:val="none" w:sz="0" w:space="1" w:color="000000"/>
        </w:pBdr>
        <w:spacing w:before="160" w:line="360" w:lineRule="auto"/>
        <w:ind w:right="160"/>
        <w:rPr>
          <w:rFonts w:eastAsia="Times New Roman" w:cs="Times New Roman"/>
          <w:i/>
          <w:sz w:val="22"/>
          <w:szCs w:val="22"/>
          <w:lang w:val="en"/>
        </w:rPr>
      </w:pPr>
      <w:r w:rsidRPr="001C72A7">
        <w:rPr>
          <w:rFonts w:eastAsia="Times New Roman" w:cs="Times New Roman"/>
          <w:i/>
          <w:sz w:val="22"/>
          <w:szCs w:val="22"/>
          <w:lang w:val="en"/>
        </w:rPr>
        <w:t>The State of Food Security in sub-Saharan Africa: Extent of food security/insecurity</w:t>
      </w:r>
    </w:p>
    <w:p w:rsidR="001C72A7" w:rsidRPr="001C72A7" w:rsidRDefault="001C72A7" w:rsidP="001C72A7">
      <w:pPr>
        <w:pBdr>
          <w:bottom w:val="none" w:sz="0" w:space="1" w:color="000000"/>
        </w:pBdr>
        <w:spacing w:before="160" w:line="360" w:lineRule="auto"/>
        <w:ind w:right="160"/>
        <w:rPr>
          <w:rFonts w:eastAsia="Times New Roman" w:cs="Times New Roman"/>
          <w:sz w:val="22"/>
          <w:szCs w:val="22"/>
          <w:lang w:val="en"/>
        </w:rPr>
      </w:pPr>
      <w:r w:rsidRPr="001C72A7">
        <w:rPr>
          <w:rFonts w:eastAsia="Times New Roman" w:cs="Times New Roman"/>
          <w:sz w:val="22"/>
          <w:szCs w:val="22"/>
          <w:highlight w:val="white"/>
          <w:lang w:val="en"/>
        </w:rPr>
        <w:t xml:space="preserve">Worldwide, advances in agriculture, </w:t>
      </w:r>
      <w:r w:rsidRPr="001C72A7">
        <w:rPr>
          <w:rFonts w:eastAsia="Times New Roman" w:cs="Times New Roman"/>
          <w:sz w:val="22"/>
          <w:szCs w:val="22"/>
          <w:lang w:val="en"/>
        </w:rPr>
        <w:t xml:space="preserve">lower food prices, and increased incomes suggest improved food security in the next decade </w:t>
      </w:r>
      <w:r w:rsidRPr="001C72A7">
        <w:rPr>
          <w:rFonts w:eastAsia="Times New Roman" w:cs="Times New Roman"/>
          <w:sz w:val="22"/>
          <w:szCs w:val="22"/>
          <w:lang w:val="en"/>
        </w:rPr>
        <w:fldChar w:fldCharType="begin" w:fldLock="1"/>
      </w:r>
      <w:r w:rsidRPr="001C72A7">
        <w:rPr>
          <w:rFonts w:eastAsia="Times New Roman" w:cs="Times New Roman"/>
          <w:sz w:val="22"/>
          <w:szCs w:val="22"/>
          <w:lang w:val="en"/>
        </w:rPr>
        <w:instrText>ADDIN CSL_CITATION {"citationItems":[{"id":"ITEM-1","itemData":{"abstract":"Food insecurity in the 76 low- and middle-income countries examined in this report is expected to remain virtually unchanged between 2012 and 2013. By 2023, however, the number of food-insecure people is projected to increase nearly 23% to 868 million, with the share of the population that is food insecure growing from 20.4% to 21.5%. Tables, Figures, References.","author":[{"dropping-particle":"","family":"Thome","given":"Karen","non-dropping-particle":"","parse-names":false,"suffix":""},{"dropping-particle":"","family":"Meade","given":"Birgit","non-dropping-particle":"","parse-names":false,"suffix":""},{"dropping-particle":"","family":"Daugherty","given":"Kamron","non-dropping-particle":"","parse-names":false,"suffix":""},{"dropping-particle":"","family":"Christensen","given":"Cheryl","non-dropping-particle":"","parse-names":false,"suffix":""}],"id":"ITEM-1","issue":"June","issued":{"date-parts":[["2018"]]},"page":"48","title":"International Food Security Assessment, 2018-2028","type":"article-journal"},"uris":["http://www.mendeley.com/documents/?uuid=972b5768-d4ee-4216-8505-e8047c3a737c"]}],"mendeley":{"formattedCitation":"(Thome &lt;i&gt;et al.&lt;/i&gt;, 2018)","plainTextFormattedCitation":"(Thome et al., 2018)","previouslyFormattedCitation":"(Thome &lt;i&gt;et al.&lt;/i&gt;, 2018)"},"properties":{"noteIndex":0},"schema":"https://github.com/citation-style-language/schema/raw/master/csl-citation.json"}</w:instrText>
      </w:r>
      <w:r w:rsidRPr="001C72A7">
        <w:rPr>
          <w:rFonts w:eastAsia="Times New Roman" w:cs="Times New Roman"/>
          <w:sz w:val="22"/>
          <w:szCs w:val="22"/>
          <w:lang w:val="en"/>
        </w:rPr>
        <w:fldChar w:fldCharType="separate"/>
      </w:r>
      <w:r w:rsidRPr="001C72A7">
        <w:rPr>
          <w:rFonts w:eastAsia="Times New Roman" w:cs="Times New Roman"/>
          <w:noProof/>
          <w:sz w:val="22"/>
          <w:szCs w:val="22"/>
          <w:lang w:val="en"/>
        </w:rPr>
        <w:t xml:space="preserve">(Thome </w:t>
      </w:r>
      <w:r w:rsidRPr="001C72A7">
        <w:rPr>
          <w:rFonts w:eastAsia="Times New Roman" w:cs="Times New Roman"/>
          <w:i/>
          <w:noProof/>
          <w:sz w:val="22"/>
          <w:szCs w:val="22"/>
          <w:lang w:val="en"/>
        </w:rPr>
        <w:t>et al.</w:t>
      </w:r>
      <w:r w:rsidRPr="001C72A7">
        <w:rPr>
          <w:rFonts w:eastAsia="Times New Roman" w:cs="Times New Roman"/>
          <w:noProof/>
          <w:sz w:val="22"/>
          <w:szCs w:val="22"/>
          <w:lang w:val="en"/>
        </w:rPr>
        <w:t>, 2018)</w:t>
      </w:r>
      <w:r w:rsidRPr="001C72A7">
        <w:rPr>
          <w:rFonts w:eastAsia="Times New Roman" w:cs="Times New Roman"/>
          <w:sz w:val="22"/>
          <w:szCs w:val="22"/>
          <w:lang w:val="en"/>
        </w:rPr>
        <w:fldChar w:fldCharType="end"/>
      </w:r>
      <w:r w:rsidRPr="001C72A7">
        <w:rPr>
          <w:rFonts w:eastAsia="Times New Roman" w:cs="Times New Roman"/>
          <w:sz w:val="22"/>
          <w:szCs w:val="22"/>
          <w:lang w:val="en"/>
        </w:rPr>
        <w:t>; however, t</w:t>
      </w:r>
      <w:r w:rsidRPr="001C72A7">
        <w:rPr>
          <w:rFonts w:eastAsia="Times New Roman" w:cs="Times New Roman"/>
          <w:sz w:val="22"/>
          <w:szCs w:val="22"/>
          <w:highlight w:val="white"/>
          <w:lang w:val="en"/>
        </w:rPr>
        <w:t>he proportion of hungry and undernourished people has been on the rise with almost 820 million people hungry in 201</w:t>
      </w:r>
      <w:r w:rsidRPr="001C72A7">
        <w:rPr>
          <w:rFonts w:eastAsia="Times New Roman" w:cs="Times New Roman"/>
          <w:sz w:val="22"/>
          <w:szCs w:val="22"/>
          <w:lang w:val="en"/>
        </w:rPr>
        <w:t xml:space="preserve">8 </w:t>
      </w:r>
      <w:r w:rsidRPr="001C72A7">
        <w:rPr>
          <w:rFonts w:eastAsia="Times New Roman" w:cs="Times New Roman"/>
          <w:sz w:val="22"/>
          <w:szCs w:val="22"/>
          <w:lang w:val="en"/>
        </w:rPr>
        <w:fldChar w:fldCharType="begin" w:fldLock="1"/>
      </w:r>
      <w:r w:rsidRPr="001C72A7">
        <w:rPr>
          <w:rFonts w:eastAsia="Times New Roman" w:cs="Times New Roman"/>
          <w:sz w:val="22"/>
          <w:szCs w:val="22"/>
          <w:lang w:val="en"/>
        </w:rPr>
        <w:instrText>ADDIN CSL_CITATION {"citationItems":[{"id":"ITEM-1","itemData":{"ISBN":"9789251315705","author":[{"dropping-particle":"","family":"FAO","given":"","non-dropping-particle":"","parse-names":false,"suffix":""},{"dropping-particle":"","family":"IFAD","given":"","non-dropping-particle":"","parse-names":false,"suffix":""},{"dropping-particle":"","family":"UNICEF","given":"","non-dropping-particle":"","parse-names":false,"suffix":""},{"dropping-particle":"","family":"WFP","given":"","non-dropping-particle":"","parse-names":false,"suffix":""},{"dropping-particle":"","family":"WHO","given":"","non-dropping-particle":"","parse-names":false,"suffix":""}],"id":"ITEM-1","issued":{"date-parts":[["2019"]]},"publisher":"FOOD &amp; AGRICULTURE ORG","publisher-place":"Rome","title":"The state of food security and nutrition in the world 2019: Safeguarding against economic slowdowns and downturns.","type":"report"},"uris":["http://www.mendeley.com/documents/?uuid=6e0a38e7-727d-3a80-9ca3-9dc126c56d8e"]}],"mendeley":{"formattedCitation":"(FAO &lt;i&gt;et al.&lt;/i&gt;, 2019)","plainTextFormattedCitation":"(FAO et al., 2019)","previouslyFormattedCitation":"(FAO &lt;i&gt;et al.&lt;/i&gt;, 2019)"},"properties":{"noteIndex":0},"schema":"https://github.com/citation-style-language/schema/raw/master/csl-citation.json"}</w:instrText>
      </w:r>
      <w:r w:rsidRPr="001C72A7">
        <w:rPr>
          <w:rFonts w:eastAsia="Times New Roman" w:cs="Times New Roman"/>
          <w:sz w:val="22"/>
          <w:szCs w:val="22"/>
          <w:lang w:val="en"/>
        </w:rPr>
        <w:fldChar w:fldCharType="separate"/>
      </w:r>
      <w:r w:rsidRPr="001C72A7">
        <w:rPr>
          <w:rFonts w:eastAsia="Times New Roman" w:cs="Times New Roman"/>
          <w:noProof/>
          <w:sz w:val="22"/>
          <w:szCs w:val="22"/>
          <w:lang w:val="en"/>
        </w:rPr>
        <w:t xml:space="preserve">(FAO </w:t>
      </w:r>
      <w:r w:rsidRPr="001C72A7">
        <w:rPr>
          <w:rFonts w:eastAsia="Times New Roman" w:cs="Times New Roman"/>
          <w:i/>
          <w:noProof/>
          <w:sz w:val="22"/>
          <w:szCs w:val="22"/>
          <w:lang w:val="en"/>
        </w:rPr>
        <w:t>et al.</w:t>
      </w:r>
      <w:r w:rsidRPr="001C72A7">
        <w:rPr>
          <w:rFonts w:eastAsia="Times New Roman" w:cs="Times New Roman"/>
          <w:noProof/>
          <w:sz w:val="22"/>
          <w:szCs w:val="22"/>
          <w:lang w:val="en"/>
        </w:rPr>
        <w:t>, 2019)</w:t>
      </w:r>
      <w:r w:rsidRPr="001C72A7">
        <w:rPr>
          <w:rFonts w:eastAsia="Times New Roman" w:cs="Times New Roman"/>
          <w:sz w:val="22"/>
          <w:szCs w:val="22"/>
          <w:lang w:val="en"/>
        </w:rPr>
        <w:fldChar w:fldCharType="end"/>
      </w:r>
      <w:r w:rsidRPr="001C72A7">
        <w:rPr>
          <w:rFonts w:eastAsia="Times New Roman" w:cs="Times New Roman"/>
          <w:sz w:val="22"/>
          <w:szCs w:val="22"/>
          <w:lang w:val="en"/>
        </w:rPr>
        <w:t xml:space="preserve">. According to the Global Report on Food Crises (2019), the number of food-insecure people needing urgent humanitarian action across the world stands at 113 million and covers 53 countries </w:t>
      </w:r>
      <w:r w:rsidRPr="001C72A7">
        <w:rPr>
          <w:rFonts w:eastAsia="Times New Roman" w:cs="Times New Roman"/>
          <w:sz w:val="22"/>
          <w:szCs w:val="22"/>
          <w:lang w:val="en"/>
        </w:rPr>
        <w:fldChar w:fldCharType="begin" w:fldLock="1"/>
      </w:r>
      <w:r w:rsidRPr="001C72A7">
        <w:rPr>
          <w:rFonts w:eastAsia="Times New Roman" w:cs="Times New Roman"/>
          <w:sz w:val="22"/>
          <w:szCs w:val="22"/>
          <w:lang w:val="en"/>
        </w:rPr>
        <w:instrText>ADDIN CSL_CITATION {"citationItems":[{"id":"ITEM-1","itemData":{"DOI":"ISSN 1728-9246","ISBN":"9788578110796","ISSN":"1098-6596","PMID":"25246403","abstract":"Currently, the world is faced with an unprecedented call for action at a moment in which four countries have been identified as at risk of famine, and demand for humanitarian and resilience assistance is escalating. Against this background, informing the global and national food security community on the risk of food crises and on the severity of such crises is of fundamental importance. In recent years, stakeholders have made major investments to improve food security analysis and related early warning systems in order to prevent and tackle food crises more efficiently. Although significant improvements have been made over time in the methods and technologies used to improve the quality and timeliness of food security assessments and monitoring systems, a comprehensive global pictures of food crises is still often missing. Partial geographical coverage and a lack of comparable data within a standardised system make it difficult to get a full global picture of food crises at any given time. The European Union, WFP and FAO have joined forces to coordinate the compilation of analyses to increase the impact of humanitarian and resilience responses through the preparation of the “Global report on Food Crises”. The Global Report enhances coordination and decision-making through a neutral analysis that informs program planning and implementation. The key objective and strength of the report is to establish a consultative and consensus-based process to compile food insecurity analysis from throughout the world into a global public product to inform annual planning and resource allocation decisions. Technical, operational and financial partners require evidence-based information to ensure appropriate planning and resources to tackle the consequences of food security crises within an evolving humanitarian financing landscape. The World Humanitarian Summit has prompted a major rethink of the way response financing is delivered in crisis settings, highlighting the need for more long-term development investments to address risk, prevent crises and build resilience. Since 2013, the European Commission has worked to develop ways to compare and clarify the results of food security analyses across partners and geographical areas to provide a comprehensive overview of the global food security situation. In 2015, the Joint Research Centre of the European Commission (ECJRC) produced an annual report on food insecurity hotspots to inform decisions on food crisis allocation…","author":[{"dropping-particle":"","family":"FSIN","given":"","non-dropping-particle":"","parse-names":false,"suffix":""}],"container-title":"World Food Programme","id":"ITEM-1","issued":{"date-parts":[["2019"]]},"title":"Global Report on Food Crises 2019","type":"report"},"uris":["http://www.mendeley.com/documents/?uuid=f9be4e4f-6093-43c4-9996-c35cc659ab71"]}],"mendeley":{"formattedCitation":"(FSIN, 2019)","plainTextFormattedCitation":"(FSIN, 2019)","previouslyFormattedCitation":"(FSIN, 2019)"},"properties":{"noteIndex":0},"schema":"https://github.com/citation-style-language/schema/raw/master/csl-citation.json"}</w:instrText>
      </w:r>
      <w:r w:rsidRPr="001C72A7">
        <w:rPr>
          <w:rFonts w:eastAsia="Times New Roman" w:cs="Times New Roman"/>
          <w:sz w:val="22"/>
          <w:szCs w:val="22"/>
          <w:lang w:val="en"/>
        </w:rPr>
        <w:fldChar w:fldCharType="separate"/>
      </w:r>
      <w:r w:rsidRPr="001C72A7">
        <w:rPr>
          <w:rFonts w:eastAsia="Times New Roman" w:cs="Times New Roman"/>
          <w:noProof/>
          <w:sz w:val="22"/>
          <w:szCs w:val="22"/>
          <w:lang w:val="en"/>
        </w:rPr>
        <w:t>(FSIN, 2019)</w:t>
      </w:r>
      <w:r w:rsidRPr="001C72A7">
        <w:rPr>
          <w:rFonts w:eastAsia="Times New Roman" w:cs="Times New Roman"/>
          <w:sz w:val="22"/>
          <w:szCs w:val="22"/>
          <w:lang w:val="en"/>
        </w:rPr>
        <w:fldChar w:fldCharType="end"/>
      </w:r>
      <w:r w:rsidRPr="001C72A7">
        <w:rPr>
          <w:rFonts w:eastAsia="Times New Roman" w:cs="Times New Roman"/>
          <w:sz w:val="22"/>
          <w:szCs w:val="22"/>
          <w:lang w:val="en"/>
        </w:rPr>
        <w:t xml:space="preserve">. The number of women and children in need of nutritional support grew considerably between 2016 and 2018, mainly in areas affected by conflict, insecurity, climate crisis, or economic insecurity </w:t>
      </w:r>
      <w:r w:rsidRPr="001C72A7">
        <w:rPr>
          <w:rFonts w:eastAsia="Times New Roman" w:cs="Times New Roman"/>
          <w:sz w:val="22"/>
          <w:szCs w:val="22"/>
          <w:lang w:val="en"/>
        </w:rPr>
        <w:fldChar w:fldCharType="begin" w:fldLock="1"/>
      </w:r>
      <w:r w:rsidRPr="001C72A7">
        <w:rPr>
          <w:rFonts w:eastAsia="Times New Roman" w:cs="Times New Roman"/>
          <w:sz w:val="22"/>
          <w:szCs w:val="22"/>
          <w:lang w:val="en"/>
        </w:rPr>
        <w:instrText>ADDIN CSL_CITATION {"citationItems":[{"id":"ITEM-1","itemData":{"abstract":"Extreme climate events – mainly drought – were also major triggers of food crises in 23 countries with over 39 million food-insecure people in need of urgent assistance in 2017.","author":[{"dropping-particle":"","family":"FSIN","given":"","non-dropping-particle":"","parse-names":false,"suffix":""}],"container-title":"Food Security Information Network","id":"ITEM-1","issued":{"date-parts":[["2018"]]},"page":"202","title":"Global Report on Food Crisis 2018","type":"article-journal"},"uris":["http://www.mendeley.com/documents/?uuid=daab04a1-7b78-45b7-a815-d227b7e94ef1"]},{"id":"ITEM-2","itemData":{"DOI":"ISSN 1728-9246","ISBN":"9788578110796","ISSN":"1098-6596","PMID":"25246403","abstract":"Currently, the world is faced with an unprecedented call for action at a moment in which four countries have been identified as at risk of famine, and demand for humanitarian and resilience assistance is escalating. Against this background, informing the global and national food security community on the risk of food crises and on the severity of such crises is of fundamental importance. In recent years, stakeholders have made major investments to improve food security analysis and related early warning systems in order to prevent and tackle food crises more efficiently. Although significant improvements have been made over time in the methods and technologies used to improve the quality and timeliness of food security assessments and monitoring systems, a comprehensive global pictures of food crises is still often missing. Partial geographical coverage and a lack of comparable data within a standardised system make it difficult to get a full global picture of food crises at any given time. The European Union, WFP and FAO have joined forces to coordinate the compilation of analyses to increase the impact of humanitarian and resilience responses through the preparation of the “Global report on Food Crises”. The Global Report enhances coordination and decision-making through a neutral analysis that informs program planning and implementation. The key objective and strength of the report is to establish a consultative and consensus-based process to compile food insecurity analysis from throughout the world into a global public product to inform annual planning and resource allocation decisions. Technical, operational and financial partners require evidence-based information to ensure appropriate planning and resources to tackle the consequences of food security crises within an evolving humanitarian financing landscape. The World Humanitarian Summit has prompted a major rethink of the way response financing is delivered in crisis settings, highlighting the need for more long-term development investments to address risk, prevent crises and build resilience. Since 2013, the European Commission has worked to develop ways to compare and clarify the results of food security analyses across partners and geographical areas to provide a comprehensive overview of the global food security situation. In 2015, the Joint Research Centre of the European Commission (ECJRC) produced an annual report on food insecurity hotspots to inform decisions on food crisis allocation…","author":[{"dropping-particle":"","family":"FSIN","given":"","non-dropping-particle":"","parse-names":false,"suffix":""}],"container-title":"World Food Programme","id":"ITEM-2","issued":{"date-parts":[["2019"]]},"title":"Global Report on Food Crises 2019","type":"report"},"uris":["http://www.mendeley.com/documents/?uuid=f9be4e4f-6093-43c4-9996-c35cc659ab71"]}],"mendeley":{"formattedCitation":"(FSIN, 2018, 2019)","plainTextFormattedCitation":"(FSIN, 2018, 2019)","previouslyFormattedCitation":"(FSIN, 2018, 2019)"},"properties":{"noteIndex":0},"schema":"https://github.com/citation-style-language/schema/raw/master/csl-citation.json"}</w:instrText>
      </w:r>
      <w:r w:rsidRPr="001C72A7">
        <w:rPr>
          <w:rFonts w:eastAsia="Times New Roman" w:cs="Times New Roman"/>
          <w:sz w:val="22"/>
          <w:szCs w:val="22"/>
          <w:lang w:val="en"/>
        </w:rPr>
        <w:fldChar w:fldCharType="separate"/>
      </w:r>
      <w:r w:rsidRPr="001C72A7">
        <w:rPr>
          <w:rFonts w:eastAsia="Times New Roman" w:cs="Times New Roman"/>
          <w:noProof/>
          <w:sz w:val="22"/>
          <w:szCs w:val="22"/>
          <w:lang w:val="en"/>
        </w:rPr>
        <w:t>(FSIN, 2018, 2019)</w:t>
      </w:r>
      <w:r w:rsidRPr="001C72A7">
        <w:rPr>
          <w:rFonts w:eastAsia="Times New Roman" w:cs="Times New Roman"/>
          <w:sz w:val="22"/>
          <w:szCs w:val="22"/>
          <w:lang w:val="en"/>
        </w:rPr>
        <w:fldChar w:fldCharType="end"/>
      </w:r>
      <w:r w:rsidRPr="001C72A7">
        <w:rPr>
          <w:rFonts w:eastAsia="Times New Roman" w:cs="Times New Roman"/>
          <w:sz w:val="22"/>
          <w:szCs w:val="22"/>
          <w:lang w:val="en"/>
        </w:rPr>
        <w:t xml:space="preserve">. </w:t>
      </w:r>
    </w:p>
    <w:p w:rsidR="001C72A7" w:rsidRPr="001C72A7" w:rsidRDefault="001C72A7" w:rsidP="001C72A7">
      <w:pPr>
        <w:pBdr>
          <w:bottom w:val="none" w:sz="0" w:space="1" w:color="000000"/>
        </w:pBdr>
        <w:spacing w:before="160" w:line="360" w:lineRule="auto"/>
        <w:ind w:right="160"/>
        <w:rPr>
          <w:rFonts w:eastAsia="Times New Roman" w:cs="Times New Roman"/>
          <w:sz w:val="22"/>
          <w:szCs w:val="22"/>
          <w:highlight w:val="white"/>
          <w:lang w:val="en"/>
        </w:rPr>
      </w:pPr>
      <w:r w:rsidRPr="001C72A7">
        <w:rPr>
          <w:rFonts w:eastAsia="Times New Roman" w:cs="Times New Roman"/>
          <w:sz w:val="22"/>
          <w:szCs w:val="22"/>
          <w:highlight w:val="white"/>
          <w:lang w:val="en"/>
        </w:rPr>
        <w:t xml:space="preserve">In sub-Saharan Africa, a region characterized by rapid urbanization, slow income growth, and high population increases, the issue becomes even more complex. Despite gains recorded under the MDGs of 1995 (see (UN, 2015) for a comprehensive overview of MDG # I focusing on ‘eradicating extreme poverty and hunger’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URL":"https://www.un.org/millenniumgoals/","accessed":{"date-parts":[["2020","5","19"]]},"author":[{"dropping-particle":"","family":"UN","given":"","non-dropping-particle":"","parse-names":false,"suffix":""}],"container-title":"United Nations Millennium Development Goals","id":"ITEM-1","issued":{"date-parts":[["2015"]]},"title":"United Nations Millennium Development Goals","type":"webpage"},"uris":["http://www.mendeley.com/documents/?uuid=261e88e2-877e-47c0-b2cf-e92ed1eac87b"]}],"mendeley":{"formattedCitation":"(UN, 2015)","plainTextFormattedCitation":"(UN, 2015)","previouslyFormattedCitation":"(UN, 2015)"},"properties":{"noteIndex":0},"schema":"https://github.com/citation-style-language/schema/raw/master/csl-citation.json"}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(UN, 2015)</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and commitments to eradicate hunger by 2025, expressed under the Malabo Declaration, current estimates put the figure of food insecure people at 218 million people, making this one of the regions with the highest proportion of undernourishment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{"citationItems":[{"id":"ITEM-1","itemData":{"abstract":"Food insecurity in the 76 low- and middle-income countries examined in this report is expected to remain virtually unchanged between 2012 and 2013. By 2023, however, the number of food-insecure people is projected to increase nearly 23% to 868 million, with the share of the population that is food insecure growing from 20.4% to 21.5%. Tables, Figures, References.","author":[{"dropping-particle":"","family":"Thome","given":"Karen","non-dropping-particle":"","parse-names":false,"suffix":""},{"dropping-particle":"","family":"Meade","given":"Birgit","non-dropping-particle":"","parse-names":false,"suffix":""},{"dropping-particle":"","family":"Daugherty","given":"Kamron","non-dropping-particle":"","parse-names":false,"suffix":""},{"dropping-particle":"","family":"Christensen","given":"Cheryl","non-dropping-particle":"","parse-names":false,"suffix":""}],"id":"ITEM-1","issue":"June","issued":{"date-parts":[["2018"]]},"page":"48","title":"International Food Security Assessment, 2018-2028","type":"article-journal"},"uris":["http://www.mendeley.com/documents/?uuid=972b5768-d4ee-4216-8505-e8047c3a737c"]},{"id":"ITEM-2","itemData":{"DOI":"10.3390/su9081490","ISSN":"20711050","abstract":"While Tanzania has been facing food shortage for some decades, little efforts have been made to elicit optimal crop yields. To limit this problem, there is a need for a robust agricultural policy that aims at stabilizing agricultural production and socio-economic entitlement among the farmers. The present study analyses the production trend of maize, sorghum and millet (i.e., staple food crops) under rain fed agriculture in Kongwa District, the semi-arid agro-ecological zone of Central Tanzania, and envisage their implications to food security and policy. We collected a set of crop data (1980-2015) from the Ministry of Agriculture, Livestock and Fisheries. In addition, 400 respondents were sampled randomly in the study area during household survey while a series of interviews and discussions were conducted mostly basing on the expertise. The Mann-Kendall Test and Microsoft excel (window 13) and theme content methods were employed for data analyses. The results showed that the production trends for maize, sorghum and millet yields have been decreasing at R2 = 0.40, 0.35 and 0.11 respectively and this trend was supported by 80% of the respondents. This decrease was greatly influenced by the temporal decrease in the mean annual rainfall (R2 = 0.21). The diminishing production trend has already decreased food security for 30% in the area. Since agricultural policy can be among the main sources of this poor yields, an explicit and sound agricultural policy should be the central aspect in planning and implementing agricultural activities.","author":[{"dropping-particle":"","family":"Mkonda","given":"Msafiri Y.","non-dropping-particle":"","parse-names":false,"suffix":""},{"dropping-particle":"","family":"He","given":"Xinhua","non-dropping-particle":"","parse-names":false,"suffix":""}],"container-title":"Sustainability (Switzerland)","id":"ITEM-2","issue":"8","issued":{"date-parts":[["2017"]]},"title":"Yields of the major food crops: Implications to food security and policy in Tanzania's semi-arid agro-ecological zone","type":"article-journal","volume":"9"},"uris":["http://www.mendeley.com/documents/?uuid=b98c605c-ab5e-4d07-9585-ed1038f3d3ca"]},{"id":"ITEM-3","itemData":{"author":[{"dropping-particle":"","family":"AUC","given":"","non-dropping-particle":"","parse-names":false,"suffix":""}],"container-title":"Addis Ababa, Ethiopia: AUC","id":"ITEM-3","issued":{"date-parts":[["2014"]]},"title":"Malabo Declaration on Accelerated Agricultural Growth and Transformation for Shared Prosperity and Improved Livelihoods","type":"article-journal"},"uris":["http://www.mendeley.com/documents/?uuid=fda558e2-5634-46a0-95c6-7c150f85453a"]}],"mendeley":{"formattedCitation":"(AUC, 2014; Mkonda and He, 2017; Thome &lt;i&gt;et al.&lt;/i&gt;, 2018)","plainTextFormattedCitation":"(AUC, 2014; Mkonda and He, 2017; Thome et al., 2018)","previouslyFormattedCitation":"(AUC, 2014; Mkonda and He, 2017; Thome &lt;i&gt;et al.&lt;/i&gt;, 2018)"},"properties":{"noteIndex":0},"schema":"https://github.com/citation-style-language/schema/raw/master/csl-citation.json"}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 xml:space="preserve">(AUC, 2014; Mkonda and He, 2017; Thome </w:t>
      </w:r>
      <w:r w:rsidRPr="001C72A7">
        <w:rPr>
          <w:rFonts w:eastAsia="Times New Roman" w:cs="Times New Roman"/>
          <w:i/>
          <w:noProof/>
          <w:sz w:val="22"/>
          <w:szCs w:val="22"/>
          <w:highlight w:val="white"/>
          <w:lang w:val="en"/>
        </w:rPr>
        <w:t>et al.</w:t>
      </w:r>
      <w:r w:rsidRPr="001C72A7">
        <w:rPr>
          <w:rFonts w:eastAsia="Times New Roman" w:cs="Times New Roman"/>
          <w:noProof/>
          <w:sz w:val="22"/>
          <w:szCs w:val="22"/>
          <w:highlight w:val="white"/>
          <w:lang w:val="en"/>
        </w:rPr>
        <w:t>, 2018)</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Moreover, existing data reveal that five of the six most highly food insecure countries in the world (Nigeria, Sudan, Congo, Ethiopia, and Somalia) are in sub-Saharan Africa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{"citationItems":[{"id":"ITEM-1","itemData":{"abstract":"Extreme climate events – mainly drought – were also major triggers of food crises in 23 countries with over 39 million food-insecure people in need of urgent assistance in 2017.","author":[{"dropping-particle":"","family":"FSIN","given":"","non-dropping-particle":"","parse-names":false,"suffix":""}],"container-title":"Food Security Information Network","id":"ITEM-1","issued":{"date-parts":[["2018"]]},"page":"202","title":"Global Report on Food Crisis 2018","type":"article-journal"},"uris":["http://www.mendeley.com/documents/?uuid=daab04a1-7b78-45b7-a815-d227b7e94ef1"]},{"id":"ITEM-2","itemData":{"URL":"http://www.foodsecurityportal.org/api/countries","author":[{"dropping-particle":"","family":"FSP","given":"","non-dropping-particle":"","parse-names":false,"suffix":""}],"container-title":"IFPRI","id":"ITEM-2","issued":{"date-parts":[["0"]]},"title":"Food Security Portal","type":"webpage"},"uris":["http://www.mendeley.com/documents/?uuid=0f063430-6b83-4d3e-b38d-e32b54965d72"]}],"mendeley":{"formattedCitation":"(FSP, no date; FSIN, 2018)","plainTextFormattedCitation":"(FSP, no date; FSIN, 2018)","previouslyFormattedCitation":"(FSP, no date; FSIN, 2018)"},"properties":{"noteIndex":0},"schema":"https://github.com/citation-style-language/schema/raw/master/csl-citation.json"}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(FSP, no date; FSIN, 2018)</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Inextricably connected to food insecurity is the prevalence of malnutrition, stunting, and undernourishment. We review extant literature on this in the following subsections.</w:t>
      </w:r>
    </w:p>
    <w:p w:rsidR="001C72A7" w:rsidRPr="001C72A7" w:rsidRDefault="001C72A7" w:rsidP="001C72A7">
      <w:pPr>
        <w:spacing w:line="360" w:lineRule="auto"/>
        <w:rPr>
          <w:rFonts w:eastAsia="Times New Roman" w:cs="Times New Roman"/>
          <w:sz w:val="22"/>
          <w:szCs w:val="22"/>
          <w:highlight w:val="white"/>
          <w:lang w:val="en"/>
        </w:rPr>
      </w:pPr>
      <w:r w:rsidRPr="001C72A7">
        <w:rPr>
          <w:rFonts w:eastAsia="Times New Roman" w:cs="Times New Roman"/>
          <w:b/>
          <w:sz w:val="22"/>
          <w:szCs w:val="22"/>
          <w:highlight w:val="white"/>
          <w:lang w:val="en"/>
        </w:rPr>
        <w:t>Prevalence of stunting.</w:t>
      </w:r>
      <w:r w:rsidRPr="001C72A7">
        <w:rPr>
          <w:rFonts w:eastAsia="Times New Roman" w:cs="Times New Roman"/>
          <w:sz w:val="22"/>
          <w:szCs w:val="22"/>
          <w:highlight w:val="white"/>
          <w:lang w:val="en"/>
        </w:rPr>
        <w:t xml:space="preserve"> </w:t>
      </w:r>
      <w:r w:rsidRPr="001C72A7">
        <w:rPr>
          <w:rFonts w:eastAsia="Times New Roman" w:cs="Times New Roman"/>
          <w:sz w:val="22"/>
          <w:szCs w:val="22"/>
          <w:lang w:val="en"/>
        </w:rPr>
        <w:t xml:space="preserve">Stunting, conceptualized as </w:t>
      </w:r>
      <w:r w:rsidRPr="001C72A7">
        <w:rPr>
          <w:rFonts w:eastAsia="Times New Roman" w:cs="Times New Roman"/>
          <w:i/>
          <w:sz w:val="22"/>
          <w:szCs w:val="22"/>
          <w:lang w:val="en"/>
        </w:rPr>
        <w:t>too short for one’s age, a result of chronic malnutrition</w:t>
      </w:r>
      <w:r w:rsidRPr="001C72A7">
        <w:rPr>
          <w:rFonts w:eastAsia="Times New Roman" w:cs="Times New Roman"/>
          <w:sz w:val="22"/>
          <w:szCs w:val="22"/>
          <w:lang w:val="en"/>
        </w:rPr>
        <w:t xml:space="preserve">, has been on the decline globally (falling from 33 per cent in 2000 to 23 per cent in 2016), however, it continues to affect an estimated 155 million children under the age of five worldwide. </w:t>
      </w:r>
      <w:r w:rsidRPr="001C72A7">
        <w:rPr>
          <w:rFonts w:eastAsia="Times New Roman" w:cs="Times New Roman"/>
          <w:sz w:val="22"/>
          <w:szCs w:val="22"/>
          <w:highlight w:val="white"/>
          <w:lang w:val="en"/>
        </w:rPr>
        <w:t>The noted decline has been attributed to improved socioeconomic conditions, enhanced access to healthcare, and nutrition and behavioral changes such as increased breastfeeding and reduced fertility</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{"citationItems":[{"id":"ITEM-1","itemData":{"DOI":"10.1016/j.worlddev.2014.09.022","ISSN":"0305750X","abstract":"Although South Asia has long been synonymous with persistent and unusually high rates of child undernutrition - the so called Asian Enigma - Bangladesh has managed to sustain a surprisingly rapid reduction in the rate of child undernutrition for at least two decades. We investigate this unheralded success through a regression and decomposition analysis of changes in child growth outcomes across five rounds of DHS surveys from 1997 to 2011. We find that rapid wealth accumulation and large gains in parental education are the two largest drivers of change, though health, sanitation, and demographic factors have played significant secondary roles.","author":[{"dropping-particle":"","family":"Headey","given":"Derek","non-dropping-particle":"","parse-names":false,"suffix":""},{"dropping-particle":"","family":"Hoddinott","given":"John","non-dropping-particle":"","parse-names":false,"suffix":""},{"dropping-particle":"","family":"Ali","given":"Disha","non-dropping-particle":"","parse-names":false,"suffix":""},{"dropping-particle":"","family":"Tesfaye","given":"Roman","non-dropping-particle":"","parse-names":false,"suffix":""},{"dropping-particle":"","family":"Dereje","given":"Mekdim","non-dropping-particle":"","parse-names":false,"suffix":""}],"container-title":"World Development","id":"ITEM-1","issued":{"date-parts":[["2015"]]},"page":"749-761","publisher":"Elsevier Ltd","title":"The Other Asian Enigma: Explaining the Rapid Reduction of Undernutrition in Bangladesh","type":"article-journal","volume":"66"},"uris":["http://www.mendeley.com/documents/?uuid=e7fbd88c-516d-4808-ac24-71eff0ad732f"]},{"id":"ITEM-2","itemData":{"DOI":"10.1016/j.worlddev.2014.11.014","ISSN":"18735991","abstract":"As the post-MDG era approaches in 2016, reducing child undernutrition is gaining high priority on the international development agenda, both as a maker and marker of development. Revisiting Smith and Haddad (2000), we use data from 1970 to 2012 for 116 countries, finding that safe water access, sanitation, women's education, gender equality, and the quantity and quality of food available in countries have been key drivers of past reductions in stunting. Income growth and governance played essential facilitating roles. Complementary to nutrition-specific and nutrition-sensitive programs and policies, accelerating reductions in undernutrition in the future will require increased investment in these priority areas.","author":[{"dropping-particle":"","family":"Smith","given":"Lisa C.","non-dropping-particle":"","parse-names":false,"suffix":""},{"dropping-particle":"","family":"Haddad","given":"Lawrence","non-dropping-particle":"","parse-names":false,"suffix":""}],"container-title":"World Development","id":"ITEM-2","issue":"1","issued":{"date-parts":[["2015"]]},"page":"180-204","publisher":"Elsevier Ltd","title":"Reducing Child Undernutrition: Past Drivers and Priorities for the Post-MDG Era","type":"article-journal","volume":"68"},"uris":["http://www.mendeley.com/documents/?uuid=465bba17-2bd2-4b4e-b90f-cce334c69ee8"]}],"mendeley":{"formattedCitation":"(Headey &lt;i&gt;et al.&lt;/i&gt;, 2015; Smith and Haddad, 2015)","plainTextFormattedCitation":"(Headey et al., 2015; Smith and Haddad, 2015)","previouslyFormattedCitation":"(Headey &lt;i&gt;et al.&lt;/i&gt;, 2015; Smith and Haddad, 2015)"},"properties":{"noteIndex":0},"schema":"https://github.com/citation-style-language/schema/raw/master/csl-citation.json"}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 xml:space="preserve">(Headey </w:t>
      </w:r>
      <w:r w:rsidRPr="001C72A7">
        <w:rPr>
          <w:rFonts w:eastAsia="Times New Roman" w:cs="Times New Roman"/>
          <w:i/>
          <w:noProof/>
          <w:sz w:val="22"/>
          <w:szCs w:val="22"/>
          <w:highlight w:val="white"/>
          <w:lang w:val="en"/>
        </w:rPr>
        <w:t>et al.</w:t>
      </w:r>
      <w:r w:rsidRPr="001C72A7">
        <w:rPr>
          <w:rFonts w:eastAsia="Times New Roman" w:cs="Times New Roman"/>
          <w:noProof/>
          <w:sz w:val="22"/>
          <w:szCs w:val="22"/>
          <w:highlight w:val="white"/>
          <w:lang w:val="en"/>
        </w:rPr>
        <w:t>, 2015; Smith and Haddad, 2015)</w:t>
      </w:r>
      <w:r w:rsidRPr="001C72A7">
        <w:rPr>
          <w:rFonts w:eastAsia="Times New Roman" w:cs="Times New Roman"/>
          <w:sz w:val="22"/>
          <w:szCs w:val="22"/>
          <w:highlight w:val="white"/>
          <w:lang w:val="en"/>
        </w:rPr>
        <w:fldChar w:fldCharType="end"/>
      </w:r>
      <w:r w:rsidRPr="001C72A7">
        <w:rPr>
          <w:rFonts w:eastAsia="Times New Roman" w:cs="Times New Roman"/>
          <w:sz w:val="22"/>
          <w:szCs w:val="22"/>
          <w:lang w:val="en"/>
        </w:rPr>
        <w:t xml:space="preserve">. Nonetheless, the stunting rates in  sub-Saharan Africa and South Asia remain relatively high </w:t>
      </w:r>
      <w:r w:rsidRPr="001C72A7">
        <w:rPr>
          <w:rFonts w:eastAsia="Times New Roman" w:cs="Times New Roman"/>
          <w:sz w:val="22"/>
          <w:szCs w:val="22"/>
          <w:lang w:val="en"/>
        </w:rPr>
        <w:fldChar w:fldCharType="begin" w:fldLock="1"/>
      </w:r>
      <w:r w:rsidRPr="001C72A7">
        <w:rPr>
          <w:rFonts w:eastAsia="Times New Roman" w:cs="Times New Roman"/>
          <w:sz w:val="22"/>
          <w:szCs w:val="22"/>
          <w:lang w:val="en"/>
        </w:rPr>
        <w:instrText>ADDIN CSL_CITATION {"citationItems":[{"id":"ITEM-1","itemData":{"DOI":"10.1093/ije/dyu075","ISSN":"14643685","abstract":"Background: Global progress in reducing the burden of undernutrition tends to be measured at the population level. It has been hypothesized that population-level improvements may mask widening socioeconomic inequalities, but little attempt has been made to assess whether this is true. Methods: Original data from 131 demographic health surveys and 48 multiple indicator cluster surveys from 1990 to 2011 were used to examine trends in socioeconomic inequalities in stunting and underweight, as well as the relationship between changes in prevalence and changes in inequality, in 80 countries. Socioeconomic inequality is measured using the corrected concentration index. Results: Countries with a higher prevalence of stunting tend to have larger socioeconomic inequalities in stunting (Spearman rank correlation=-0.27 P=0.014). In most countries, there has been no change in inequality in stunting: in 31 out of 53, the 90% confidence intervals around the changes overlap the zero value. In the remaining 22, there was a reduction in inequality in 11 and an increase in 11. The distributional patterns underlying the summary inequality statistics vary considerably across countries, but in most there have been considerable gains to the poorest quintile. Conclusions: Reductions in the prevalence of undernutrition have generally not been accompanied by widening inequalities. However, inequalities have also not been narrowing. Rather, the picture is one of a strong persistence of existing inequalities. In addition, there are different distributional patterns underlying changes in the summary indices of inequality which will need to be taken into consideration in designing programmes to reach the poor. © The Author 2014; Published by Oxford University Press on behalf of the International Epidemiological Association all rights reserved.","author":[{"dropping-particle":"","family":"Bredenkamp","given":"Caryn","non-dropping-particle":"","parse-names":false,"suffix":""},{"dropping-particle":"","family":"Buisman","given":"Leander R.","non-dropping-particle":"","parse-names":false,"suffix":""},{"dropping-particle":"","family":"Poel","given":"Ellen","non-dropping-particle":"Van de","parse-names":false,"suffix":""}],"container-title":"International Journal of Epidemiology","id":"ITEM-1","issue":"4","issued":{"date-parts":[["2014"]]},"page":"1328-1335","title":"Persistent inequalities in child undernutrition: Evidence from 80 countries, from 1990 to today","type":"article-journal","volume":"43"},"uris":["http://www.mendeley.com/documents/?uuid=d426fc34-b577-489b-b7cc-6f32173453d5"]},{"id":"ITEM-2","itemData":{"DOI":"10.1042/cs0470143","ISSN":"03010538","author":[{"dropping-particle":"","family":"UNICEF","given":"","non-dropping-particle":"","parse-names":false,"suffix":""},{"dropping-particle":"","family":"WHO","given":"","non-dropping-particle":"","parse-names":false,"suffix":""},{"dropping-particle":"","family":"World Bank Group","given":"","non-dropping-particle":"","parse-names":false,"suffix":""}],"container-title":"Key findings of the 2017 edition","id":"ITEM-2","issued":{"date-parts":[["2017"]]},"publisher-place":"UNICEF WHO World Bank Group","title":"LEVELS AND TRENDS IN CHILD MALNUTRITION","type":"report"},"uris":["http://www.mendeley.com/documents/?uuid=47596e32-73b5-468d-b043-1b2662c8f490"]}],"mendeley":{"formattedCitation":"(Bredenkamp, Buisman and Van de Poel, 2014; UNICEF, WHO and World Bank Group, 2017)","plainTextFormattedCitation":"(Bredenkamp, Buisman and Van de Poel, 2014; UNICEF, WHO and World Bank Group, 2017)","previouslyFormattedCitation":"(Bredenkamp, Buisman and Van de Poel, 2014; UNICEF, WHO and World Bank Group, 2017)"},"properties":{"noteIndex":0},"schema":"https://github.com/citation-style-language/schema/raw/master/csl-citation.json"}</w:instrText>
      </w:r>
      <w:r w:rsidRPr="001C72A7">
        <w:rPr>
          <w:rFonts w:eastAsia="Times New Roman" w:cs="Times New Roman"/>
          <w:sz w:val="22"/>
          <w:szCs w:val="22"/>
          <w:lang w:val="en"/>
        </w:rPr>
        <w:fldChar w:fldCharType="separate"/>
      </w:r>
      <w:r w:rsidRPr="001C72A7">
        <w:rPr>
          <w:rFonts w:eastAsia="Times New Roman" w:cs="Times New Roman"/>
          <w:noProof/>
          <w:sz w:val="22"/>
          <w:szCs w:val="22"/>
          <w:lang w:val="en"/>
        </w:rPr>
        <w:t>(Bredenkamp, Buisman and Van de Poel, 2014; UNICEF, WHO and World Bank Group, 2017)</w:t>
      </w:r>
      <w:r w:rsidRPr="001C72A7">
        <w:rPr>
          <w:rFonts w:eastAsia="Times New Roman" w:cs="Times New Roman"/>
          <w:sz w:val="22"/>
          <w:szCs w:val="22"/>
          <w:lang w:val="en"/>
        </w:rPr>
        <w:fldChar w:fldCharType="end"/>
      </w:r>
      <w:r w:rsidRPr="001C72A7">
        <w:rPr>
          <w:rFonts w:eastAsia="Times New Roman" w:cs="Times New Roman"/>
          <w:sz w:val="22"/>
          <w:szCs w:val="22"/>
          <w:lang w:val="en"/>
        </w:rPr>
        <w:t xml:space="preserve">. Within Sub Saharan Africa, data suggest that </w:t>
      </w:r>
      <w:r w:rsidRPr="001C72A7">
        <w:rPr>
          <w:rFonts w:eastAsia="Times New Roman" w:cs="Times New Roman"/>
          <w:sz w:val="22"/>
          <w:szCs w:val="22"/>
          <w:highlight w:val="white"/>
          <w:lang w:val="en"/>
        </w:rPr>
        <w:t xml:space="preserve">rates of stunting continue to be stubbornly high in Malawi, Mozambique, and Sierra Leone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{"citationItems":[{"id":"ITEM-1","itemData":{"DOI":"10.1093/ije/dyu075","ISSN":"14643685","abstract":"Background: Global progress in reducing the burden of undernutrition tends to be measured at the population level. It has been hypothesized that population-level improvements may mask widening socioeconomic inequalities, but little attempt has been made to assess whether this is true. Methods: Original data from 131 demographic health surveys and 48 multiple indicator cluster surveys from 1990 to 2011 were used to examine trends in socioeconomic inequalities in stunting and underweight, as well as the relationship between changes in prevalence and changes in inequality, in 80 countries. Socioeconomic inequality is measured using the corrected concentration index. Results: Countries with a higher prevalence of stunting tend to have larger socioeconomic inequalities in stunting (Spearman rank correlation=-0.27 P=0.014). In most countries, there has been no change in inequality in stunting: in 31 out of 53, the 90% confidence intervals around the changes overlap the zero value. In the remaining 22, there was a reduction in inequality in 11 and an increase in 11. The distributional patterns underlying the summary inequality statistics vary considerably across countries, but in most there have been considerable gains to the poorest quintile. Conclusions: Reductions in the prevalence of undernutrition have generally not been accompanied by widening inequalities. However, inequalities have also not been narrowing. Rather, the picture is one of a strong persistence of existing inequalities. In addition, there are different distributional patterns underlying changes in the summary indices of inequality which will need to be taken into consideration in designing programmes to reach the poor. © The Author 2014; Published by Oxford University Press on behalf of the International Epidemiological Association all rights reserved.","author":[{"dropping-particle":"","family":"Bredenkamp","given":"Caryn","non-dropping-particle":"","parse-names":false,"suffix":""},{"dropping-particle":"","family":"Buisman","given":"Leander R.","non-dropping-particle":"","parse-names":false,"suffix":""},{"dropping-particle":"","family":"Poel","given":"Ellen","non-dropping-particle":"Van de","parse-names":false,"suffix":""}],"container-title":"International Journal of Epidemiology","id":"ITEM-1","issue":"4","issued":{"date-parts":[["2014"]]},"page":"1328-1335","title":"Persistent inequalities in child undernutrition: Evidence from 80 countries, from 1990 to today","type":"article-journal","volume":"43"},"uris":["http://www.mendeley.com/documents/?uuid=d426fc34-b577-489b-b7cc-6f32173453d5"]},{"id":"ITEM-2","itemData":{"author":[{"dropping-particle":"","family":"Mariama Sow","given":"","non-dropping-particle":"","parse-names":false,"suffix":""}],"id":"ITEM-2","issued":{"date-parts":[["2017"]]},"title":"Africa’s progress on the SDGs and Agenda 2063","type":"report"},"uris":["http://www.mendeley.com/documents/?uuid=edaa5c02-136d-4a4d-9c27-63b334b16ff4"]},{"id":"ITEM-3","itemData":{"URL":"https://openknowledge.worldbank.org/handle/10986/26447","accessed":{"date-parts":[["2020","6","13"]]},"container-title":"World Development Indicators, The World Bank","id":"ITEM-3","issued":{"date-parts":[["2017"]]},"title":"World Development Indicators","type":"webpage"},"uris":["http://www.mendeley.com/documents/?uuid=4447ef03-433f-3298-b58e-52f0aae5a963"]}],"mendeley":{"formattedCitation":"(Bredenkamp, Buisman and Van de Poel, 2014; &lt;i&gt;World Development Indicators&lt;/i&gt;, 2017; Mariama Sow, 2017)","plainTextFormattedCitation":"(Bredenkamp, Buisman and Van de Poel, 2014; World Development Indicators, 2017; Mariama Sow, 2017)","previouslyFormattedCitation":"(Bredenkamp, Buisman and Van de Poel, 2014; &lt;i&gt;World Development Indicators&lt;/i&gt;, 2017; Mariama Sow, 2017)"},"properties":{"noteIndex":0},"schema":"https://github.com/citation-style-language/schema/raw/master/csl-citation.json"}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 xml:space="preserve">(Bredenkamp, Buisman and Van de Poel, 2014; </w:t>
      </w:r>
      <w:r w:rsidRPr="001C72A7">
        <w:rPr>
          <w:rFonts w:eastAsia="Times New Roman" w:cs="Times New Roman"/>
          <w:i/>
          <w:noProof/>
          <w:sz w:val="22"/>
          <w:szCs w:val="22"/>
          <w:highlight w:val="white"/>
          <w:lang w:val="en"/>
        </w:rPr>
        <w:t>World Development Indicators</w:t>
      </w:r>
      <w:r w:rsidRPr="001C72A7">
        <w:rPr>
          <w:rFonts w:eastAsia="Times New Roman" w:cs="Times New Roman"/>
          <w:noProof/>
          <w:sz w:val="22"/>
          <w:szCs w:val="22"/>
          <w:highlight w:val="white"/>
          <w:lang w:val="en"/>
        </w:rPr>
        <w:t>, 2017; Mariama Sow, 2017)</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w:t>
      </w:r>
    </w:p>
    <w:p w:rsidR="001C72A7" w:rsidRPr="001C72A7" w:rsidRDefault="001C72A7" w:rsidP="001C72A7">
      <w:pPr>
        <w:spacing w:line="360" w:lineRule="auto"/>
        <w:rPr>
          <w:rFonts w:eastAsia="Times New Roman" w:cs="Times New Roman"/>
          <w:sz w:val="22"/>
          <w:szCs w:val="22"/>
          <w:highlight w:val="white"/>
          <w:lang w:val="en"/>
        </w:rPr>
      </w:pPr>
    </w:p>
    <w:p w:rsidR="001C72A7" w:rsidRPr="001C72A7" w:rsidRDefault="001C72A7" w:rsidP="001C72A7">
      <w:pPr>
        <w:spacing w:line="360" w:lineRule="auto"/>
        <w:rPr>
          <w:rFonts w:eastAsia="Times New Roman" w:cs="Times New Roman"/>
          <w:sz w:val="22"/>
          <w:szCs w:val="22"/>
          <w:lang w:val="en"/>
        </w:rPr>
      </w:pPr>
      <w:r w:rsidRPr="001C72A7">
        <w:rPr>
          <w:rFonts w:eastAsia="Times New Roman" w:cs="Times New Roman"/>
          <w:b/>
          <w:sz w:val="22"/>
          <w:szCs w:val="22"/>
          <w:highlight w:val="white"/>
          <w:lang w:val="en"/>
        </w:rPr>
        <w:t>Prevalence of Malnutrition.</w:t>
      </w:r>
      <w:r w:rsidRPr="001C72A7">
        <w:rPr>
          <w:rFonts w:eastAsia="Times New Roman" w:cs="Times New Roman"/>
          <w:sz w:val="22"/>
          <w:szCs w:val="22"/>
          <w:highlight w:val="white"/>
          <w:lang w:val="en"/>
        </w:rPr>
        <w:t xml:space="preserve"> Wasting, or low weight for height, is a strong predictor of mortality among children under the age of five and usually results from acute food insecurity and/or disease. </w:t>
      </w:r>
      <w:r w:rsidRPr="001C72A7">
        <w:rPr>
          <w:rFonts w:eastAsia="Times New Roman" w:cs="Times New Roman"/>
          <w:sz w:val="22"/>
          <w:szCs w:val="22"/>
          <w:lang w:val="en"/>
        </w:rPr>
        <w:t xml:space="preserve">Despite global declines in the proportion of children suffering from wasting/undernutrition, an estimated 49 million children under five years of age suffer from wasting </w:t>
      </w:r>
      <w:r w:rsidRPr="001C72A7">
        <w:rPr>
          <w:rFonts w:eastAsia="Times New Roman" w:cs="Times New Roman"/>
          <w:sz w:val="22"/>
          <w:szCs w:val="22"/>
          <w:lang w:val="en"/>
        </w:rPr>
        <w:fldChar w:fldCharType="begin" w:fldLock="1"/>
      </w:r>
      <w:r w:rsidRPr="001C72A7">
        <w:rPr>
          <w:rFonts w:eastAsia="Times New Roman" w:cs="Times New Roman"/>
          <w:sz w:val="22"/>
          <w:szCs w:val="22"/>
          <w:lang w:val="en"/>
        </w:rPr>
        <w:instrText>ADDIN CSL_CITATION {"citationItems":[{"id":"ITEM-1","itemData":{"URL":"https://www.who.int/gho/child-malnutrition/en/","accessed":{"date-parts":[["2020","11","4"]]},"author":[{"dropping-particle":"","family":"WHO","given":"","non-dropping-particle":"","parse-names":false,"suffix":""}],"container-title":"World Health Organization","id":"ITEM-1","issued":{"date-parts":[["2019"]]},"title":"Global Health Observatory (GHO) data on Child Malnutrition","type":"webpage"},"uris":["http://www.mendeley.com/documents/?uuid=69d26847-f858-4f8c-9aed-22bfd6e5e2e0"]}],"mendeley":{"formattedCitation":"(WHO, 2019)","plainTextFormattedCitation":"(WHO, 2019)","previouslyFormattedCitation":"(WHO, 2019)"},"properties":{"noteIndex":0},"schema":"https://github.com/citation-style-language/schema/raw/master/csl-citation.json"}</w:instrText>
      </w:r>
      <w:r w:rsidRPr="001C72A7">
        <w:rPr>
          <w:rFonts w:eastAsia="Times New Roman" w:cs="Times New Roman"/>
          <w:sz w:val="22"/>
          <w:szCs w:val="22"/>
          <w:lang w:val="en"/>
        </w:rPr>
        <w:fldChar w:fldCharType="separate"/>
      </w:r>
      <w:r w:rsidRPr="001C72A7">
        <w:rPr>
          <w:rFonts w:eastAsia="Times New Roman" w:cs="Times New Roman"/>
          <w:noProof/>
          <w:sz w:val="22"/>
          <w:szCs w:val="22"/>
          <w:lang w:val="en"/>
        </w:rPr>
        <w:t>(WHO, 2019)</w:t>
      </w:r>
      <w:r w:rsidRPr="001C72A7">
        <w:rPr>
          <w:rFonts w:eastAsia="Times New Roman" w:cs="Times New Roman"/>
          <w:sz w:val="22"/>
          <w:szCs w:val="22"/>
          <w:lang w:val="en"/>
        </w:rPr>
        <w:fldChar w:fldCharType="end"/>
      </w:r>
      <w:r w:rsidRPr="001C72A7">
        <w:rPr>
          <w:rFonts w:eastAsia="Times New Roman" w:cs="Times New Roman"/>
          <w:sz w:val="22"/>
          <w:szCs w:val="22"/>
          <w:lang w:val="en"/>
        </w:rPr>
        <w:t>. Moreover, the prevalence of wasting is significantly high across sub-Saharan Africa and South Asia (greater than 15 percent). Within sub-Saharan Africa, the prevalence of child undernutrition is associated with political instability and conflict amon</w:t>
      </w:r>
      <w:r w:rsidR="00F31A83">
        <w:rPr>
          <w:rFonts w:eastAsia="Times New Roman" w:cs="Times New Roman"/>
          <w:sz w:val="22"/>
          <w:szCs w:val="22"/>
          <w:lang w:val="en"/>
        </w:rPr>
        <w:t xml:space="preserve">g other crises. High levels of </w:t>
      </w:r>
      <w:r w:rsidRPr="001C72A7">
        <w:rPr>
          <w:rFonts w:eastAsia="Times New Roman" w:cs="Times New Roman"/>
          <w:sz w:val="22"/>
          <w:szCs w:val="22"/>
          <w:lang w:val="en"/>
        </w:rPr>
        <w:t xml:space="preserve">wasting were reported in the Democratic Republic of Congo from the late 1990s to early 2000s, a period of the Second Congo War. Similarly, South Sudan reports the highest prevalence of wasting with nearly 2.2 million children suffering from wasting every year </w:t>
      </w:r>
      <w:r w:rsidRPr="001C72A7">
        <w:rPr>
          <w:rFonts w:eastAsia="Times New Roman" w:cs="Times New Roman"/>
          <w:sz w:val="22"/>
          <w:szCs w:val="22"/>
          <w:lang w:val="en"/>
        </w:rPr>
        <w:fldChar w:fldCharType="begin" w:fldLock="1"/>
      </w:r>
      <w:r w:rsidRPr="001C72A7">
        <w:rPr>
          <w:rFonts w:eastAsia="Times New Roman" w:cs="Times New Roman"/>
          <w:sz w:val="22"/>
          <w:szCs w:val="22"/>
          <w:lang w:val="en"/>
        </w:rPr>
        <w:instrText>ADDIN CSL_CITATION {"citationItems":[{"id":"ITEM-1","itemData":{"URL":"https://www.who.int/emergencies/response-plans/2017/sudan/en/","accessed":{"date-parts":[["2020","11","4"]]},"author":[{"dropping-particle":"","family":"WHO","given":"","non-dropping-particle":"","parse-names":false,"suffix":""}],"container-title":"World Health Organization","id":"ITEM-1","issued":{"date-parts":[["2017"]]},"title":"Sudan Humanitarian Response Plan","type":"webpage"},"uris":["http://www.mendeley.com/documents/?uuid=6b841910-2c7f-4c0f-9790-d74ff8a77e59"]}],"mendeley":{"formattedCitation":"(WHO, 2017)","plainTextFormattedCitation":"(WHO, 2017)","previouslyFormattedCitation":"(WHO, 2017)"},"properties":{"noteIndex":0},"schema":"https://github.com/citation-style-language/schema/raw/master/csl-citation.json"}</w:instrText>
      </w:r>
      <w:r w:rsidRPr="001C72A7">
        <w:rPr>
          <w:rFonts w:eastAsia="Times New Roman" w:cs="Times New Roman"/>
          <w:sz w:val="22"/>
          <w:szCs w:val="22"/>
          <w:lang w:val="en"/>
        </w:rPr>
        <w:fldChar w:fldCharType="separate"/>
      </w:r>
      <w:r w:rsidRPr="001C72A7">
        <w:rPr>
          <w:rFonts w:eastAsia="Times New Roman" w:cs="Times New Roman"/>
          <w:noProof/>
          <w:sz w:val="22"/>
          <w:szCs w:val="22"/>
          <w:lang w:val="en"/>
        </w:rPr>
        <w:t>(WHO, 2017)</w:t>
      </w:r>
      <w:r w:rsidRPr="001C72A7">
        <w:rPr>
          <w:rFonts w:eastAsia="Times New Roman" w:cs="Times New Roman"/>
          <w:sz w:val="22"/>
          <w:szCs w:val="22"/>
          <w:lang w:val="en"/>
        </w:rPr>
        <w:fldChar w:fldCharType="end"/>
      </w:r>
      <w:r w:rsidRPr="001C72A7">
        <w:rPr>
          <w:rFonts w:eastAsia="Times New Roman" w:cs="Times New Roman"/>
          <w:sz w:val="22"/>
          <w:szCs w:val="22"/>
          <w:lang w:val="en"/>
        </w:rPr>
        <w:t xml:space="preserve">. </w:t>
      </w:r>
    </w:p>
    <w:p w:rsidR="001C72A7" w:rsidRPr="001C72A7" w:rsidRDefault="001C72A7" w:rsidP="001C72A7">
      <w:pPr>
        <w:spacing w:line="360" w:lineRule="auto"/>
        <w:rPr>
          <w:rFonts w:eastAsia="Times New Roman" w:cs="Times New Roman"/>
          <w:sz w:val="22"/>
          <w:szCs w:val="22"/>
          <w:lang w:val="en"/>
        </w:rPr>
      </w:pPr>
      <w:r w:rsidRPr="001C72A7">
        <w:rPr>
          <w:rFonts w:eastAsia="Times New Roman" w:cs="Times New Roman"/>
          <w:b/>
          <w:sz w:val="22"/>
          <w:szCs w:val="22"/>
          <w:lang w:val="en"/>
        </w:rPr>
        <w:t>Prevalence of undernutrition.</w:t>
      </w:r>
      <w:r w:rsidRPr="001C72A7">
        <w:rPr>
          <w:rFonts w:eastAsia="Times New Roman" w:cs="Times New Roman"/>
          <w:sz w:val="22"/>
          <w:szCs w:val="22"/>
          <w:lang w:val="en"/>
        </w:rPr>
        <w:t xml:space="preserve"> </w:t>
      </w:r>
      <w:r w:rsidRPr="001C72A7">
        <w:rPr>
          <w:rFonts w:eastAsia="Times New Roman" w:cs="Times New Roman"/>
          <w:sz w:val="22"/>
          <w:szCs w:val="22"/>
          <w:highlight w:val="white"/>
          <w:lang w:val="en"/>
        </w:rPr>
        <w:t xml:space="preserve">This indicator captures the proportion of the population whose daily food consumption is insufficient for the dietary energy levels needed to maintain a normal active and healthy life and is generally expressed in percentages. </w:t>
      </w:r>
      <w:r w:rsidRPr="001C72A7">
        <w:rPr>
          <w:rFonts w:eastAsia="Times New Roman" w:cs="Times New Roman"/>
          <w:sz w:val="22"/>
          <w:szCs w:val="22"/>
          <w:lang w:val="en"/>
        </w:rPr>
        <w:t xml:space="preserve">Globally, the prevalence of undernourishment continues to be stubborn - 10.6% in 2015 to 10.8% in 2018 </w:t>
      </w:r>
      <w:r w:rsidRPr="001C72A7">
        <w:rPr>
          <w:rFonts w:eastAsia="Times New Roman" w:cs="Times New Roman"/>
          <w:sz w:val="22"/>
          <w:szCs w:val="22"/>
          <w:lang w:val="en"/>
        </w:rPr>
        <w:fldChar w:fldCharType="begin" w:fldLock="1"/>
      </w:r>
      <w:r w:rsidRPr="001C72A7">
        <w:rPr>
          <w:rFonts w:eastAsia="Times New Roman" w:cs="Times New Roman"/>
          <w:sz w:val="22"/>
          <w:szCs w:val="22"/>
          <w:lang w:val="en"/>
        </w:rPr>
        <w:instrText>ADDIN CSL_CITATION {"citationItems":[{"id":"ITEM-1","itemData":{"ISBN":"9789251318218","author":[{"dropping-particle":"","family":"FAO","given":"","non-dropping-particle":"","parse-names":false,"suffix":""}],"id":"ITEM-1","issued":{"date-parts":[["2019"]]},"title":"Fifteen years implementing the Right to Food Guidelines - Reviewing progress to achieve the 2030 Agenda","type":"book"},"uris":["http://www.mendeley.com/documents/?uuid=0fb3045a-1a66-48ba-8753-bb4df60502ca"]},{"id":"ITEM-2","itemData":{"DOI":"ISSN 1728-9246","ISBN":"9788578110796","ISSN":"1098-6596","PMID":"25246403","abstract":"Currently, the world is faced with an unprecedented call for action at a moment in which four countries have been identified as at risk of famine, and demand for humanitarian and resilience assistance is escalating. Against this background, informing the global and national food security community on the risk of food crises and on the severity of such crises is of fundamental importance. In recent years, stakeholders have made major investments to improve food security analysis and related early warning systems in order to prevent and tackle food crises more efficiently. Although significant improvements have been made over time in the methods and technologies used to improve the quality and timeliness of food security assessments and monitoring systems, a comprehensive global pictures of food crises is still often missing. Partial geographical coverage and a lack of comparable data within a standardised system make it difficult to get a full global picture of food crises at any given time. The European Union, WFP and FAO have joined forces to coordinate the compilation of analyses to increase the impact of humanitarian and resilience responses through the preparation of the “Global report on Food Crises”. The Global Report enhances coordination and decision-making through a neutral analysis that informs program planning and implementation. The key objective and strength of the report is to establish a consultative and consensus-based process to compile food insecurity analysis from throughout the world into a global public product to inform annual planning and resource allocation decisions. Technical, operational and financial partners require evidence-based information to ensure appropriate planning and resources to tackle the consequences of food security crises within an evolving humanitarian financing landscape. The World Humanitarian Summit has prompted a major rethink of the way response financing is delivered in crisis settings, highlighting the need for more long-term development investments to address risk, prevent crises and build resilience. Since 2013, the European Commission has worked to develop ways to compare and clarify the results of food security analyses across partners and geographical areas to provide a comprehensive overview of the global food security situation. In 2015, the Joint Research Centre of the European Commission (ECJRC) produced an annual report on food insecurity hotspots to inform decisions on food crisis allocation…","author":[{"dropping-particle":"","family":"FSIN","given":"","non-dropping-particle":"","parse-names":false,"suffix":""}],"container-title":"World Food Programme","id":"ITEM-2","issued":{"date-parts":[["2019"]]},"title":"Global Report on Food Crises 2019","type":"report"},"uris":["http://www.mendeley.com/documents/?uuid=f9be4e4f-6093-43c4-9996-c35cc659ab71"]}],"mendeley":{"formattedCitation":"(FAO, 2019; FSIN, 2019)","plainTextFormattedCitation":"(FAO, 2019; FSIN, 2019)","previouslyFormattedCitation":"(FAO, 2019; FSIN, 2019)"},"properties":{"noteIndex":0},"schema":"https://github.com/citation-style-language/schema/raw/master/csl-citation.json"}</w:instrText>
      </w:r>
      <w:r w:rsidRPr="001C72A7">
        <w:rPr>
          <w:rFonts w:eastAsia="Times New Roman" w:cs="Times New Roman"/>
          <w:sz w:val="22"/>
          <w:szCs w:val="22"/>
          <w:lang w:val="en"/>
        </w:rPr>
        <w:fldChar w:fldCharType="separate"/>
      </w:r>
      <w:r w:rsidRPr="001C72A7">
        <w:rPr>
          <w:rFonts w:eastAsia="Times New Roman" w:cs="Times New Roman"/>
          <w:noProof/>
          <w:sz w:val="22"/>
          <w:szCs w:val="22"/>
          <w:lang w:val="en"/>
        </w:rPr>
        <w:t>(FAO, 2019; FSIN, 2019)</w:t>
      </w:r>
      <w:r w:rsidRPr="001C72A7">
        <w:rPr>
          <w:rFonts w:eastAsia="Times New Roman" w:cs="Times New Roman"/>
          <w:sz w:val="22"/>
          <w:szCs w:val="22"/>
          <w:lang w:val="en"/>
        </w:rPr>
        <w:fldChar w:fldCharType="end"/>
      </w:r>
      <w:r w:rsidRPr="001C72A7">
        <w:rPr>
          <w:rFonts w:eastAsia="Times New Roman" w:cs="Times New Roman"/>
          <w:sz w:val="22"/>
          <w:szCs w:val="22"/>
          <w:highlight w:val="white"/>
          <w:lang w:val="en"/>
        </w:rPr>
        <w:t>. The situation for sub-Saharan Africa, has in fact worsened; the proportion of undernourished people increased from 20.7% in 2014 to 23.2% in 2017.</w:t>
      </w:r>
      <w:r w:rsidRPr="001C72A7">
        <w:rPr>
          <w:rFonts w:eastAsia="Times New Roman" w:cs="Times New Roman"/>
          <w:sz w:val="22"/>
          <w:szCs w:val="22"/>
          <w:lang w:val="en"/>
        </w:rPr>
        <w:t xml:space="preserve"> Reasons connected to this include poor infrastructure, resource constraints, and con</w:t>
      </w:r>
      <w:r w:rsidRPr="001C72A7">
        <w:rPr>
          <w:rFonts w:eastAsia="Times New Roman" w:cs="Times New Roman"/>
          <w:sz w:val="22"/>
          <w:szCs w:val="22"/>
          <w:highlight w:val="white"/>
          <w:lang w:val="en"/>
        </w:rPr>
        <w:t xml:space="preserve">flict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ISBN":"9789251315705","author":[{"dropping-particle":"","family":"FAO","given":"","non-dropping-particle":"","parse-names":false,"suffix":""},{"dropping-particle":"","family":"IFAD","given":"","non-dropping-particle":"","parse-names":false,"suffix":""},{"dropping-particle":"","family":"UNICEF","given":"","non-dropping-particle":"","parse-names":false,"suffix":""},{"dropping-particle":"","family":"WFP","given":"","non-dropping-particle":"","parse-names":false,"suffix":""},{"dropping-particle":"","family":"WHO","given":"","non-dropping-particle":"","parse-names":false,"suffix":""}],"id":"ITEM-1","issued":{"date-parts":[["2019"]]},"publisher":"FOOD &amp; AGRICULTURE ORG","publisher-place":"Rome","title":"The state of food security and nutrition in the world 2019: Safeguarding against economic slowdowns and downturns.","type":"report"},"uris":["http://www.mendeley.com/documents/?uuid=6e0a38e7-727d-3a80-9ca3-9dc126c56d8e"]}],"mendeley":{"formattedCitation":"(FAO &lt;i&gt;et al.&lt;/i&gt;, 2019)","plainTextFormattedCitation":"(FAO et al., 2019)","previouslyFormattedCitation":"(FAO &lt;i&gt;et al.&lt;/i&gt;, 2019)"},"properties":{"noteIndex":0},"schema":"https://github.com/citation-style-language/schema/raw/master/csl-citation.json"}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 xml:space="preserve">(FAO </w:t>
      </w:r>
      <w:r w:rsidRPr="001C72A7">
        <w:rPr>
          <w:rFonts w:eastAsia="Times New Roman" w:cs="Times New Roman"/>
          <w:i/>
          <w:noProof/>
          <w:sz w:val="22"/>
          <w:szCs w:val="22"/>
          <w:highlight w:val="white"/>
          <w:lang w:val="en"/>
        </w:rPr>
        <w:t>et al.</w:t>
      </w:r>
      <w:r w:rsidRPr="001C72A7">
        <w:rPr>
          <w:rFonts w:eastAsia="Times New Roman" w:cs="Times New Roman"/>
          <w:noProof/>
          <w:sz w:val="22"/>
          <w:szCs w:val="22"/>
          <w:highlight w:val="white"/>
          <w:lang w:val="en"/>
        </w:rPr>
        <w:t>, 2019)</w:t>
      </w:r>
      <w:r w:rsidRPr="001C72A7">
        <w:rPr>
          <w:rFonts w:eastAsia="Times New Roman" w:cs="Times New Roman"/>
          <w:sz w:val="22"/>
          <w:szCs w:val="22"/>
          <w:highlight w:val="white"/>
          <w:lang w:val="en"/>
        </w:rPr>
        <w:fldChar w:fldCharType="end"/>
      </w:r>
      <w:r w:rsidRPr="001C72A7">
        <w:rPr>
          <w:rFonts w:eastAsia="Times New Roman" w:cs="Times New Roman"/>
          <w:sz w:val="22"/>
          <w:szCs w:val="22"/>
          <w:lang w:val="en"/>
        </w:rPr>
        <w:t>.</w:t>
      </w:r>
    </w:p>
    <w:p w:rsidR="001C72A7" w:rsidRPr="001C72A7" w:rsidRDefault="001C72A7" w:rsidP="001C72A7">
      <w:pPr>
        <w:spacing w:line="360" w:lineRule="auto"/>
        <w:ind w:firstLine="720"/>
        <w:rPr>
          <w:rFonts w:eastAsia="Times New Roman" w:cs="Times New Roman"/>
          <w:sz w:val="22"/>
          <w:szCs w:val="22"/>
          <w:lang w:val="en"/>
        </w:rPr>
      </w:pPr>
    </w:p>
    <w:p w:rsidR="001C72A7" w:rsidRPr="001C72A7" w:rsidRDefault="001C72A7" w:rsidP="001C72A7">
      <w:pPr>
        <w:spacing w:line="360" w:lineRule="auto"/>
        <w:rPr>
          <w:rFonts w:eastAsia="Times New Roman" w:cs="Times New Roman"/>
          <w:i/>
          <w:sz w:val="22"/>
          <w:szCs w:val="22"/>
          <w:highlight w:val="yellow"/>
          <w:lang w:val="en"/>
        </w:rPr>
      </w:pPr>
      <w:r w:rsidRPr="001C72A7">
        <w:rPr>
          <w:rFonts w:eastAsia="Times New Roman" w:cs="Times New Roman"/>
          <w:i/>
          <w:sz w:val="22"/>
          <w:szCs w:val="22"/>
          <w:highlight w:val="white"/>
          <w:lang w:val="en"/>
        </w:rPr>
        <w:t>Pathways to food insecurity and adverse health outcomes for children in sub-Saharan Africa</w:t>
      </w:r>
    </w:p>
    <w:p w:rsidR="001C72A7" w:rsidRPr="001C72A7" w:rsidRDefault="001C72A7" w:rsidP="001C72A7">
      <w:pPr>
        <w:spacing w:line="360" w:lineRule="auto"/>
        <w:rPr>
          <w:rFonts w:eastAsia="Times New Roman" w:cs="Times New Roman"/>
          <w:sz w:val="22"/>
          <w:szCs w:val="22"/>
          <w:highlight w:val="white"/>
          <w:lang w:val="en"/>
        </w:rPr>
      </w:pPr>
      <w:r w:rsidRPr="001C72A7">
        <w:rPr>
          <w:rFonts w:eastAsia="Times New Roman" w:cs="Times New Roman"/>
          <w:sz w:val="22"/>
          <w:szCs w:val="22"/>
          <w:lang w:val="en"/>
        </w:rPr>
        <w:t xml:space="preserve">Several factors contribute to the problem of food insecurity and inimical health outcomes among children in sub-Saharan Africa. To help frame our review of the literature, we focus on three key pathways: </w:t>
      </w:r>
      <w:r w:rsidRPr="001C72A7">
        <w:rPr>
          <w:rFonts w:eastAsia="Times New Roman" w:cs="Times New Roman"/>
          <w:sz w:val="22"/>
          <w:szCs w:val="22"/>
          <w:highlight w:val="white"/>
          <w:lang w:val="en"/>
        </w:rPr>
        <w:t>(i) Nutritional, (ii) Caregiver, and (iii) Contextual/environmental (</w:t>
      </w:r>
      <w:r w:rsidRPr="001C72A7">
        <w:rPr>
          <w:rFonts w:eastAsia="Times New Roman" w:cs="Times New Roman"/>
          <w:sz w:val="22"/>
          <w:szCs w:val="22"/>
          <w:lang w:val="en"/>
        </w:rPr>
        <w:t>see figure Two)</w:t>
      </w:r>
      <w:r w:rsidRPr="001C72A7">
        <w:rPr>
          <w:rFonts w:eastAsia="Times New Roman" w:cs="Times New Roman"/>
          <w:sz w:val="22"/>
          <w:szCs w:val="22"/>
          <w:highlight w:val="white"/>
          <w:lang w:val="en"/>
        </w:rPr>
        <w:t>. This characterization is informed by the Food and Agriculture Organization (FAO), and the previous literature which has attempted to frame child malnutrition using a two pathways model</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URL":"https://www.apa.org/pi/ses/resources/indicator/2012/06/household-food-insecurities","accessed":{"date-parts":[["2020","6","13"]]},"author":[{"dropping-particle":"","family":"Black","given":"Maureen","non-dropping-particle":"","parse-names":false,"suffix":""}],"container-title":"American Psychological Association: The SES indicator","id":"ITEM-1","issued":{"date-parts":[["2012"]]},"title":"Household food insecurities: Threats to children’s well-being","type":"webpage"},"uris":["http://www.mendeley.com/documents/?uuid=2564d70b-4333-3abd-87f7-cb7bce50e3cd"]},{"id":"ITEM-2","itemData":{"ISBN":"9789251305713","abstract":"New evidence this year corroborates the rise in world hunger observed in this report last year, sending a warning that more action is needed if we aspire to end world hunger and malnutrition in all its forms by 2030. Updated estimates show the number of people who suffer from hunger has been growing over the past three years, returning to prevailing levels from almost a decade ago. Although progress continues to be made in reducing child stunting, over 22 percent of children under five years of age are still affected. Other forms of malnutrition are also growing: adult obesity continues to increase in countries irrespective of their income levels, and many countries are coping with multiple forms of malnutrition at the same time – overweight and obesity, as well as anaemia in women, and child stunting and wasting. Last year’s report showed that the failure to reduce world hunger is closely associated with the increase in conflict and violence in several parts of the world. In some countries, initial evidence showed climate-related events were also undermining food security and nutrition. This year’s report goes further to show that climate variability and extremes – even without conflict – are key drivers behind the recent rise in global hunger and one of the leading causes of severe food crises and their impact on people’s nutrition and health. Climate variability and exposure to more complex, frequent and intense climate extremes are threatening to erode and reverse gains in ending hunger and malnutrition. Furthermore, hunger is significantly worse in countries where agriculture systems are highly sensitive to rainfall, temperature and severe drought, and where the livelihood of a high proportion of the population depends on agriculture. The findings of this report reveal new challenges to ending hunger, food insecurity and all forms of malnutrition. There is an urgent need to accelerate and scale up actions that strengthen resilience and adaptive capacity of people and their livelihoods to climate variability and extremes. These and other findings are detailed in the 2018 edition of The State of Food Security and Nutrition in the World.","author":[{"dropping-particle":"","family":"FAO","given":"","non-dropping-particle":"","parse-names":false,"suffix":""},{"dropping-particle":"","family":"IFAD","given":"","non-dropping-particle":"","parse-names":false,"suffix":""},{"dropping-particle":"","family":"UNICEF","given":"","non-dropping-particle":"","parse-names":false,"suffix":""},{"dropping-particle":"","family":"WFP","given":"","non-dropping-particle":"","parse-names":false,"suffix":""},{"dropping-particle":"","family":"WHO","given":"","non-dropping-particle":"","parse-names":false,"suffix":""}],"id":"ITEM-2","issued":{"date-parts":[["2018"]]},"title":"The State of Food Security and Nutrition in the World: Building Climate Resilience for Food Security and Nutrition","type":"book"},"uris":["http://www.mendeley.com/documents/?uuid=64f2ff1c-5725-48d1-973f-cb1d677d17ac"]}],"mendeley":{"formattedCitation":"(Black, 2012; FAO &lt;i&gt;et al.&lt;/i&gt;, 2018)","plainTextFormattedCitation":"(Black, 2012; FAO et al., 2018)","previouslyFormattedCitation":"(Black, 2012; FAO &lt;i&gt;et al.&lt;/i&gt;, 2018)"},"properties":{"noteIndex":0},"schema":"https://github.com/citation-style-language/schema/raw/master/csl-citation.json"}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 xml:space="preserve">(Black, 2012; FAO </w:t>
      </w:r>
      <w:r w:rsidRPr="001C72A7">
        <w:rPr>
          <w:rFonts w:eastAsia="Times New Roman" w:cs="Times New Roman"/>
          <w:i/>
          <w:noProof/>
          <w:sz w:val="22"/>
          <w:szCs w:val="22"/>
          <w:highlight w:val="white"/>
          <w:lang w:val="en"/>
        </w:rPr>
        <w:t>et al.</w:t>
      </w:r>
      <w:r w:rsidRPr="001C72A7">
        <w:rPr>
          <w:rFonts w:eastAsia="Times New Roman" w:cs="Times New Roman"/>
          <w:noProof/>
          <w:sz w:val="22"/>
          <w:szCs w:val="22"/>
          <w:highlight w:val="white"/>
          <w:lang w:val="en"/>
        </w:rPr>
        <w:t>, 2018)</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The FAO model connects inadequate access to food to multiple forms of malnutrition through undernutrition and obesogenic pathways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{"citationItems":[{"id":"ITEM-1","itemData":{"ISBN":"9789251305713","abstract":"New evidence this year corroborates the rise in world hunger observed in this report last year, sending a warning that more action is needed if we aspire to end world hunger and malnutrition in all its forms by 2030. Updated estimates show the number of people who suffer from hunger has been growing over the past three years, returning to prevailing levels from almost a decade ago. Although progress continues to be made in reducing child stunting, over 22 percent of children under five years of age are still affected. Other forms of malnutrition are also growing: adult obesity continues to increase in countries irrespective of their income levels, and many countries are coping with multiple forms of malnutrition at the same time – overweight and obesity, as well as anaemia in women, and child stunting and wasting. Last year’s report showed that the failure to reduce world hunger is closely associated with the increase in conflict and violence in several parts of the world. In some countries, initial evidence showed climate-related events were also undermining food security and nutrition. This year’s report goes further to show that climate variability and extremes – even without conflict – are key drivers behind the recent rise in global hunger and one of the leading causes of severe food crises and their impact on people’s nutrition and health. Climate variability and exposure to more complex, frequent and intense climate extremes are threatening to erode and reverse gains in ending hunger and malnutrition. Furthermore, hunger is significantly worse in countries where agriculture systems are highly sensitive to rainfall, temperature and severe drought, and where the livelihood of a high proportion of the population depends on agriculture. The findings of this report reveal new challenges to ending hunger, food insecurity and all forms of malnutrition. There is an urgent need to accelerate and scale up actions that strengthen resilience and adaptive capacity of people and their livelihoods to climate variability and extremes. These and other findings are detailed in the 2018 edition of The State of Food Security and Nutrition in the World.","author":[{"dropping-particle":"","family":"FAO","given":"","non-dropping-particle":"","parse-names":false,"suffix":""},{"dropping-particle":"","family":"IFAD","given":"","non-dropping-particle":"","parse-names":false,"suffix":""},{"dropping-particle":"","family":"UNICEF","given":"","non-dropping-particle":"","parse-names":false,"suffix":""},{"dropping-particle":"","family":"WFP","given":"","non-dropping-particle":"","parse-names":false,"suffix":""},{"dropping-particle":"","family":"WHO","given":"","non-dropping-particle":"","parse-names":false,"suffix":""}],"id":"ITEM-1","issued":{"date-parts":[["2018"]]},"title":"The State of Food Security and Nutrition in the World: Building Climate Resilience for Food Security and Nutrition","type":"book"},"uris":["http://www.mendeley.com/documents/?uuid=64f2ff1c-5725-48d1-973f-cb1d677d17ac"]}],"mendeley":{"formattedCitation":"(FAO &lt;i&gt;et al.&lt;/i&gt;, 2018)","plainTextFormattedCitation":"(FAO et al., 2018)","previouslyFormattedCitation":"(FAO &lt;i&gt;et al.&lt;/i&gt;, 2018)"},"properties":{"noteIndex":0},"schema":"https://github.com/citation-style-language/schema/raw/master/csl-citation.json"}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 xml:space="preserve">(FAO </w:t>
      </w:r>
      <w:r w:rsidRPr="001C72A7">
        <w:rPr>
          <w:rFonts w:eastAsia="Times New Roman" w:cs="Times New Roman"/>
          <w:i/>
          <w:noProof/>
          <w:sz w:val="22"/>
          <w:szCs w:val="22"/>
          <w:highlight w:val="white"/>
          <w:lang w:val="en"/>
        </w:rPr>
        <w:t>et al.</w:t>
      </w:r>
      <w:r w:rsidRPr="001C72A7">
        <w:rPr>
          <w:rFonts w:eastAsia="Times New Roman" w:cs="Times New Roman"/>
          <w:noProof/>
          <w:sz w:val="22"/>
          <w:szCs w:val="22"/>
          <w:highlight w:val="white"/>
          <w:lang w:val="en"/>
        </w:rPr>
        <w:t>, 2018)</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Another explication adds a caregiver factor to the nutritional pathway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URL":"https://www.apa.org/pi/ses/resources/indicator/2012/06/household-food-insecurities","accessed":{"date-parts":[["2020","6","13"]]},"author":[{"dropping-particle":"","family":"Black","given":"Maureen","non-dropping-particle":"","parse-names":false,"suffix":""}],"container-title":"American Psychological Association: The SES indicator","id":"ITEM-1","issued":{"date-parts":[["2012"]]},"title":"Household food insecurities: Threats to children’s well-being","type":"webpage"},"uris":["http://www.mendeley.com/documents/?uuid=2564d70b-4333-3abd-87f7-cb7bce50e3cd"]}],"mendeley":{"formattedCitation":"(Black, 2012)","plainTextFormattedCitation":"(Black, 2012)","previouslyFormattedCitation":"(Black, 2012)"},"properties":{"noteIndex":0},"schema":"https://github.com/citation-style-language/schema/raw/master/csl-citation.json"}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(Black, 2012)</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Our adaptation includes the nutrition, caregiver, and contextual/environmental factors. This conceptualization is premised on the assumption that the frame of reference within which food insecurity and malnutrition occurs matters; it shapes and impacts experiences of food insecurity and health outcomes. We posit that collectively, these pathways influence household food security, child food security and may negatively/positively impact health outcomes.</w:t>
      </w:r>
    </w:p>
    <w:p w:rsidR="001C72A7" w:rsidRPr="001C72A7" w:rsidRDefault="001C72A7" w:rsidP="001C72A7">
      <w:pPr>
        <w:spacing w:line="240" w:lineRule="auto"/>
        <w:rPr>
          <w:rFonts w:eastAsia="Times New Roman" w:cs="Times New Roman"/>
          <w:sz w:val="22"/>
          <w:szCs w:val="22"/>
          <w:highlight w:val="white"/>
          <w:lang w:val="en"/>
        </w:rPr>
      </w:pPr>
    </w:p>
    <w:p w:rsidR="001C72A7" w:rsidRPr="001C72A7" w:rsidRDefault="001C72A7" w:rsidP="001C72A7">
      <w:pPr>
        <w:spacing w:line="360" w:lineRule="auto"/>
        <w:rPr>
          <w:rFonts w:eastAsia="Times New Roman" w:cs="Times New Roman"/>
          <w:sz w:val="22"/>
          <w:szCs w:val="22"/>
          <w:highlight w:val="white"/>
          <w:lang w:val="en"/>
        </w:rPr>
      </w:pPr>
      <w:r w:rsidRPr="001C72A7">
        <w:rPr>
          <w:rFonts w:eastAsia="Times New Roman" w:cs="Times New Roman"/>
          <w:b/>
          <w:sz w:val="22"/>
          <w:szCs w:val="22"/>
          <w:highlight w:val="white"/>
          <w:lang w:val="en"/>
        </w:rPr>
        <w:t xml:space="preserve">Nutritional Pathway.  </w:t>
      </w:r>
      <w:r w:rsidRPr="001C72A7">
        <w:rPr>
          <w:rFonts w:eastAsia="Times New Roman" w:cs="Times New Roman"/>
          <w:sz w:val="22"/>
          <w:szCs w:val="22"/>
          <w:highlight w:val="white"/>
          <w:lang w:val="en"/>
        </w:rPr>
        <w:t xml:space="preserve">Nutritional pathway is defined by deficits in the quantity and quality of food. Research has acknowledged the complexity of the link between poor access to adequate food and malnutrition. Multiple passages connect child malnutrition to inadequate access to healthy food, insufficient breastfeeding, and inadequate complementary foods providing protein and nutrients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{"citationItems":[{"id":"ITEM-1","itemData":{"DOI":"10.1016/S0140-6736(13)60996-4","ISSN":"1474547X","abstract":"Maternal undernutrition contributes to 800000 neonatal deaths annually through small for gestational age births; stunting, wasting, and micronutrient deficiencies are estimated to underlie nearly 3·1 million child deaths annually. Progress has been made with many interventions implemented at scale and the evidence for effectiveness of nutrition interventions and delivery strategies has grown since The Lancet Series on Maternal and Child Undernutrition in 2008. We did a comprehensive update of interventions to address undernutrition and micronutrient deficiencies in women and children and used standard methods to assess emerging new evidence for delivery platforms. We modelled the effect on lives saved and cost of these interventions in the 34 countries that have 90% of the world's children with stunted growth. We also examined the effect of various delivery platforms and delivery options using community health workers to engage poor populations and promote behaviour change, access and uptake of interventions. Our analysis suggests the current total of deaths in children younger than 5 years can be reduced by 15% if populations can access ten evidence-based nutrition interventions at 90% coverage. Additionally, access to and uptake of iodised salt can alleviate iodine deficiency and improve health outcomes. Accelerated gains are possible and about a fifth of the existing burden of stunting can be averted using these approaches, if access is improved in this way. The estimated total additional annual cost involved for scaling up access to these ten direct nutrition interventions in the 34 focus countries is Int$9·6 billion per year. Continued investments in nutrition-specific interventions to avert maternal and child undernutrition and micronutrient deficiencies through community engagement and delivery strategies that can reach poor segments of the population at greatest risk can make a great difference. If this improved access is linked to nutrition-sensitive approaches - ie, women's empowerment, agriculture, food systems, education, employment, social protection, and safety nets - they can greatly accelerate progress in countries with the highest burden of maternal and child undernutrition and mortality. © 2013 Elsevier Ltd.","author":[{"dropping-particle":"","family":"Bhutta","given":"Zulfiqar A.","non-dropping-particle":"","parse-names":false,"suffix":""},{"dropping-particle":"","family":"Das","given":"Jai K.","non-dropping-particle":"","parse-names":false,"suffix":""},{"dropping-particle":"","family":"Rizvi","given":"Arjumand","non-dropping-particle":"","parse-names":false,"suffix":""},{"dropping-particle":"","family":"Gaffey","given":"Michelle F.","non-dropping-particle":"","parse-names":false,"suffix":""},{"dropping-particle":"","family":"Walker","given":"Neff","non-dropping-particle":"","parse-names":false,"suffix":""},{"dropping-particle":"","family":"Horton","given":"Susan","non-dropping-particle":"","parse-names":false,"suffix":""},{"dropping-particle":"","family":"Webb","given":"Patrick","non-dropping-particle":"","parse-names":false,"suffix":""},{"dropping-particle":"","family":"Lartey","given":"Anna","non-dropping-particle":"","parse-names":false,"suffix":""},{"dropping-particle":"","family":"Black","given":"Robert E.","non-dropping-particle":"","parse-names":false,"suffix":""}],"container-title":"The Lancet","id":"ITEM-1","issue":"9890","issued":{"date-parts":[["2013"]]},"page":"452-477","title":"Evidence-based interventions for improvement of maternal and child nutrition: What can be done and at what cost?","type":"article-journal","volume":"382"},"uris":["http://www.mendeley.com/documents/?uuid=f781a81a-62b2-4c1e-b983-bb3a7ff1b55d"]},{"id":"ITEM-2","itemData":{"DOI":"10.1017/S1368980015001913","ISBN":"1368980015001","ISSN":"14752727","abstract":"OBJECTIVE: To investigate the predictors of wasting, stunting and low mid-upper arm circumference among children aged 6-59 months in Somalia using data from household cross-sectional surveys from 2007 to 2010 in order to help inform better targeting of nutritional interventions. DESIGN: Cross-sectional nutritional assessment surveys using structured interviews were conducted among communities in Somalia each year from 2007 to 2010. A two-stage cluster sampling methodology was used to select children aged 6-59 months from households across three livelihood zones (pastoral, agro-pastoral and riverine). Predictors of three anthropometric measures, weight-for-height (wasting), height-for-age (stunting) and mid-upper arm circumference, were analysed using Bayesian binomial regression, controlling for both spatial and temporal dependence in the data. SETTING: The study was conducted in randomly sampled villages, representative of three livelihood zones in Somalia. SUBJECTS: Children between the ages of 6 and 59 months in Somalia. RESULTS: The estimated national prevalence of wasting, stunting and low mid-upper arm circumference in children aged 6-59 months was 21 %, 31 % and 36 %, respectively. Although fever, diarrhoea, sex and age of the child, household size and access to foods were significant predictors of malnutrition, the strongest association was observed between all three indicators of malnutrition and the enhanced vegetation index. A 1-unit increase in enhanced vegetation index was associated with a 38 %, 49 % and 59 % reduction in wasting, stunting and low mid-upper arm circumference, respectively. CONCLUSIONS: Infection and climatic variations are likely to be key drivers of malnutrition in Somalia. Better health data and close monitoring and forecasting of droughts may provide valuable information for nutritional intervention planning in Somalia.","author":[{"dropping-particle":"","family":"Kinyoki","given":"Damaris K.","non-dropping-particle":"","parse-names":false,"suffix":""},{"dropping-particle":"","family":"Berkley","given":"James A.","non-dropping-particle":"","parse-names":false,"suffix":""},{"dropping-particle":"","family":"Moloney","given":"Grainne M.","non-dropping-particle":"","parse-names":false,"suffix":""},{"dropping-particle":"","family":"Kandala","given":"Ngianga Bakwin","non-dropping-particle":"","parse-names":false,"suffix":""},{"dropping-particle":"","family":"Noor","given":"Abdisalan M.","non-dropping-particle":"","parse-names":false,"suffix":""}],"container-title":"Public Health Nutrition","id":"ITEM-2","issue":"17","issued":{"date-parts":[["2015"]]},"page":"3125-3133","title":"Predictors of the risk of malnutrition among children under the age of 5 years in Somalia","type":"article-journal","volume":"18"},"uris":["http://www.mendeley.com/documents/?uuid=4f76f268-1df8-4709-ac41-80da9f2c2d2d"]},{"id":"ITEM-3","itemData":{"DOI":"10.1007/s10995-015-1881-0","ISSN":"15736628","abstract":"© 2015, Springer Science+Business Media New York.Objectives The literature exploring the relationship between food insecurity and obesity for preschool-aged children is inconclusive and suffers from inconsistent measurement. This paper explores the relationships between concurrent household and child food insecurity and child overweight as well as differences in these relationships by child gender using a sample of 2–5 year old children. Methods Using measured height and weight and responses to the Household Food Security Survey Module collected from a sample of 438 preschool-aged children (mean age 39 months) and their mothers, logistic regression models were fit to estimate the relationship between household and child food insecurity and child BMI. Separate models were fit for girls and boys. Results Twenty-seven percent of children from food insecure households and 25 % of child food insecure children were overweight or obese (BMI ≥ 85 %). There were no statistically significant associations between either household or child food insecurity and BMI for the full sample. For girls, but not boys, household food insecurity was associated with BMI z-scores (β = 0.23, p = 0.01). Conclusions Although food insecurity and overweight were not significantly associated, a noteworthy proportion of food insecure children were overweight or obese. Programs for young children should address food insecurity and obesity simultaneously by ensuring that young children have regular access to nutrient-dense foods.","author":[{"dropping-particle":"","family":"Speirs","given":"Katherine E.","non-dropping-particle":"","parse-names":false,"suffix":""},{"dropping-particle":"","family":"Fiese","given":"Barbara H.","non-dropping-particle":"","parse-names":false,"suffix":""},{"dropping-particle":"","family":"STRONG Kids Research Team","given":"","non-dropping-particle":"","parse-names":false,"suffix":""}],"container-title":"Maternal and Child Health Journal","id":"ITEM-3","issue":"4","issued":{"date-parts":[["2016"]]},"page":"925-933","publisher":"Springer US","title":"The Relationship Between Food Insecurity and BMI for Preschool Children","type":"article-journal","volume":"20"},"uris":["http://www.mendeley.com/documents/?uuid=f36b5d3e-7ae6-49d6-8dc0-7e07fed88a19"]}],"mendeley":{"formattedCitation":"(Bhutta &lt;i&gt;et al.&lt;/i&gt;, 2013; Kinyoki &lt;i&gt;et al.&lt;/i&gt;, 2015; Speirs, Fiese and STRONG Kids Research Team, 2016)","plainTextFormattedCitation":"(Bhutta et al., 2013; Kinyoki et al., 2015; Speirs, Fiese and STRONG Kids Research Team, 2016)","previouslyFormattedCitation":"(Bhutta &lt;i&gt;et al.&lt;/i&gt;, 2013; Kinyoki &lt;i&gt;et al.&lt;/i&gt;, 2015; Speirs, Fiese and STRONG Kids Research Team, 2016)"},"properties":{"noteIndex":0},"schema":"https://github.com/citation-style-language/schema/raw/master/csl-citation.json"}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 xml:space="preserve">(Bhutta </w:t>
      </w:r>
      <w:r w:rsidRPr="001C72A7">
        <w:rPr>
          <w:rFonts w:eastAsia="Times New Roman" w:cs="Times New Roman"/>
          <w:i/>
          <w:noProof/>
          <w:sz w:val="22"/>
          <w:szCs w:val="22"/>
          <w:highlight w:val="white"/>
          <w:lang w:val="en"/>
        </w:rPr>
        <w:t>et al.</w:t>
      </w:r>
      <w:r w:rsidRPr="001C72A7">
        <w:rPr>
          <w:rFonts w:eastAsia="Times New Roman" w:cs="Times New Roman"/>
          <w:noProof/>
          <w:sz w:val="22"/>
          <w:szCs w:val="22"/>
          <w:highlight w:val="white"/>
          <w:lang w:val="en"/>
        </w:rPr>
        <w:t xml:space="preserve">, 2013; Kinyoki </w:t>
      </w:r>
      <w:r w:rsidRPr="001C72A7">
        <w:rPr>
          <w:rFonts w:eastAsia="Times New Roman" w:cs="Times New Roman"/>
          <w:i/>
          <w:noProof/>
          <w:sz w:val="22"/>
          <w:szCs w:val="22"/>
          <w:highlight w:val="white"/>
          <w:lang w:val="en"/>
        </w:rPr>
        <w:t>et al.</w:t>
      </w:r>
      <w:r w:rsidRPr="001C72A7">
        <w:rPr>
          <w:rFonts w:eastAsia="Times New Roman" w:cs="Times New Roman"/>
          <w:noProof/>
          <w:sz w:val="22"/>
          <w:szCs w:val="22"/>
          <w:highlight w:val="white"/>
          <w:lang w:val="en"/>
        </w:rPr>
        <w:t>, 2015; Speirs, Fiese and STRONG Kids Research Team, 2016)</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Access to food, or the lack thereof, has been highlighted as the primary driver of child malnutrition mainly because it symbolizes anxiety and uncertainty about the availability of food as well as insufficient food intake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{"citationItems":[{"id":"ITEM-1","itemData":{"DOI":"10.1017/S1368980015001913","ISBN":"1368980015001","ISSN":"14752727","abstract":"OBJECTIVE: To investigate the predictors of wasting, stunting and low mid-upper arm circumference among children aged 6-59 months in Somalia using data from household cross-sectional surveys from 2007 to 2010 in order to help inform better targeting of nutritional interventions. DESIGN: Cross-sectional nutritional assessment surveys using structured interviews were conducted among communities in Somalia each year from 2007 to 2010. A two-stage cluster sampling methodology was used to select children aged 6-59 months from households across three livelihood zones (pastoral, agro-pastoral and riverine). Predictors of three anthropometric measures, weight-for-height (wasting), height-for-age (stunting) and mid-upper arm circumference, were analysed using Bayesian binomial regression, controlling for both spatial and temporal dependence in the data. SETTING: The study was conducted in randomly sampled villages, representative of three livelihood zones in Somalia. SUBJECTS: Children between the ages of 6 and 59 months in Somalia. RESULTS: The estimated national prevalence of wasting, stunting and low mid-upper arm circumference in children aged 6-59 months was 21 %, 31 % and 36 %, respectively. Although fever, diarrhoea, sex and age of the child, household size and access to foods were significant predictors of malnutrition, the strongest association was observed between all three indicators of malnutrition and the enhanced vegetation index. A 1-unit increase in enhanced vegetation index was associated with a 38 %, 49 % and 59 % reduction in wasting, stunting and low mid-upper arm circumference, respectively. CONCLUSIONS: Infection and climatic variations are likely to be key drivers of malnutrition in Somalia. Better health data and close monitoring and forecasting of droughts may provide valuable information for nutritional intervention planning in Somalia.","author":[{"dropping-particle":"","family":"Kinyoki","given":"Damaris K.","non-dropping-particle":"","parse-names":false,"suffix":""},{"dropping-particle":"","family":"Berkley","given":"James A.","non-dropping-particle":"","parse-names":false,"suffix":""},{"dropping-particle":"","family":"Moloney","given":"Grainne M.","non-dropping-particle":"","parse-names":false,"suffix":""},{"dropping-particle":"","family":"Kandala","given":"Ngianga Bakwin","non-dropping-particle":"","parse-names":false,"suffix":""},{"dropping-particle":"","family":"Noor","given":"Abdisalan M.","non-dropping-particle":"","parse-names":false,"suffix":""}],"container-title":"Public Health Nutrition","id":"ITEM-1","issue":"17","issued":{"date-parts":[["2015"]]},"page":"3125-3133","title":"Predictors of the risk of malnutrition among children under the age of 5 years in Somalia","type":"article-journal","volume":"18"},"uris":["http://www.mendeley.com/documents/?uuid=4f76f268-1df8-4709-ac41-80da9f2c2d2d"]}],"mendeley":{"formattedCitation":"(Kinyoki &lt;i&gt;et al.&lt;/i&gt;, 2015)","plainTextFormattedCitation":"(Kinyoki et al., 2015)","previouslyFormattedCitation":"(Kinyoki &lt;i&gt;et al.&lt;/i&gt;, 2015)"},"properties":{"noteIndex":0},"schema":"https://github.com/citation-style-language/schema/raw/master/csl-citation.json"}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 xml:space="preserve">(Kinyoki </w:t>
      </w:r>
      <w:r w:rsidRPr="001C72A7">
        <w:rPr>
          <w:rFonts w:eastAsia="Times New Roman" w:cs="Times New Roman"/>
          <w:i/>
          <w:noProof/>
          <w:sz w:val="22"/>
          <w:szCs w:val="22"/>
          <w:highlight w:val="white"/>
          <w:lang w:val="en"/>
        </w:rPr>
        <w:t>et al.</w:t>
      </w:r>
      <w:r w:rsidRPr="001C72A7">
        <w:rPr>
          <w:rFonts w:eastAsia="Times New Roman" w:cs="Times New Roman"/>
          <w:noProof/>
          <w:sz w:val="22"/>
          <w:szCs w:val="22"/>
          <w:highlight w:val="white"/>
          <w:lang w:val="en"/>
        </w:rPr>
        <w:t>, 2015)</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Another conduit of child malnutrition is micronutrient (vitamin and mineral) deficiencies, referred to as hidden hunger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{"citationItems":[{"id":"ITEM-1","itemData":{"DOI":"10.1016/j.gfs.2018.03.004","ISSN":"22119124","abstract":"Eradicating hunger in all its forms, including chronic and hidden hunger, requires good understanding of the problem's magnitude, trends, and determinants. Existing studies measure “hunger” through proxies that all have shortcomings. We use a more comprehensive metric, Disability-Adjusted Life Years (DALYs), to quantify the burden of hunger and show related trends. While the burden of chronic hunger more than halved since 1990, it remains larger than the burden of hidden hunger. Cross-country regressions show that economic growth was a major determinant of reducing the hunger burden. However, growth and other country-level determinants have larger effects on the burden of chronic hunger than on the burden of hidden hunger. Complementary micro-level interventions are required to end hunger in all its forms.","author":[{"dropping-particle":"","family":"Gödecke","given":"Theda","non-dropping-particle":"","parse-names":false,"suffix":""},{"dropping-particle":"","family":"Stein","given":"Alexander J.","non-dropping-particle":"","parse-names":false,"suffix":""},{"dropping-particle":"","family":"Qaim","given":"Matin","non-dropping-particle":"","parse-names":false,"suffix":""}],"container-title":"Global Food Security","id":"ITEM-1","issue":"March","issued":{"date-parts":[["2018"]]},"page":"21-29","publisher":"Elsevier B.V.","title":"The global burden of chronic and hidden hunger: Trends and determinants","type":"article-journal","volume":"17"},"uris":["http://www.mendeley.com/documents/?uuid=2e93bf57-0966-4388-897c-093683045296"]}],"mendeley":{"formattedCitation":"(Gödecke, Stein and Qaim, 2018)","plainTextFormattedCitation":"(Gödecke, Stein and Qaim, 2018)","previouslyFormattedCitation":"(Gödecke, Stein and Qaim, 2018)"},"properties":{"noteIndex":0},"schema":"https://github.com/citation-style-language/schema/raw/master/csl-citation.json"}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(Gödecke, Stein and Qaim, 2018)</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w:t>
      </w:r>
    </w:p>
    <w:p w:rsidR="001C72A7" w:rsidRPr="001C72A7" w:rsidRDefault="001C72A7" w:rsidP="001C72A7">
      <w:pPr>
        <w:spacing w:line="360" w:lineRule="auto"/>
        <w:rPr>
          <w:rFonts w:eastAsia="Times New Roman" w:cs="Times New Roman"/>
          <w:sz w:val="22"/>
          <w:szCs w:val="22"/>
          <w:highlight w:val="yellow"/>
          <w:lang w:val="en"/>
        </w:rPr>
      </w:pPr>
      <w:r w:rsidRPr="001C72A7">
        <w:rPr>
          <w:rFonts w:eastAsia="Times New Roman" w:cs="Times New Roman"/>
          <w:b/>
          <w:sz w:val="22"/>
          <w:szCs w:val="22"/>
          <w:highlight w:val="white"/>
          <w:lang w:val="en"/>
        </w:rPr>
        <w:t xml:space="preserve">Caregiver Pathway. </w:t>
      </w:r>
      <w:r w:rsidRPr="001C72A7">
        <w:rPr>
          <w:rFonts w:eastAsia="Times New Roman" w:cs="Times New Roman"/>
          <w:sz w:val="22"/>
          <w:szCs w:val="22"/>
          <w:highlight w:val="white"/>
          <w:lang w:val="en"/>
        </w:rPr>
        <w:t>The caregiver pathway is</w:t>
      </w:r>
      <w:r w:rsidRPr="001C72A7">
        <w:rPr>
          <w:rFonts w:eastAsia="Times New Roman" w:cs="Times New Roman"/>
          <w:b/>
          <w:sz w:val="22"/>
          <w:szCs w:val="22"/>
          <w:highlight w:val="white"/>
          <w:lang w:val="en"/>
        </w:rPr>
        <w:t xml:space="preserve"> </w:t>
      </w:r>
      <w:r w:rsidRPr="001C72A7">
        <w:rPr>
          <w:rFonts w:eastAsia="Times New Roman" w:cs="Times New Roman"/>
          <w:sz w:val="22"/>
          <w:szCs w:val="22"/>
          <w:highlight w:val="white"/>
          <w:lang w:val="en"/>
        </w:rPr>
        <w:t xml:space="preserve">characterized by caregiver attributes, such as parental depression and food-related anxieties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{"citationItems":[{"id":"ITEM-1","itemData":{"DOI":"10.1542/peds.2006-0239","ISSN":"00314005","PMID":"16950971","abstract":"OBJECTIVES. We sought to determine if the prevalence of depression and anxiety in mothers and the prevalence of behavior problems in preschool-aged children are more common when mothers report being food insecure. METHODS. A cross-sectional survey of 2870 mothers of 3-year-old children was conducted in 2001-2003 in 18 large US cities. On the basis of the adult food-security scale calculated from the US Household Food Security Survey Module, mothers were categorized into 3 levels: fully food secure, marginally food secure, and food insecure. The 12-month prevalence in mothers of a major depressive episode and generalized anxiety disorder was assessed by the Composite International Diagnostic Interview-Short Form. A child behavior problem in ≥1 of 3 domains (aggressive, anxious/depressed, or inattention/hyperactivity) was based on the Child Behavior Checklist. RESULTS. Seventy-one percent of the respondents were fully food secure, 17% were marginally food secure, and 12% were food insecure. After adjustment for sociodemographic factors plus maternal physical health, alcohol use, drug use, prenatal smoking, and prenatal physical domestic violence, the percentage of mothers with either major depressive episode or generalized anxiety disorder increased with increasing food insecurity: 16.9%, 21.0%, and 30.3% across the 3 levels. Among children, after further adjustment for maternal major depressive episode and generalized anxiety disorder, the percentage with a behavior problem also increased with increasing food insecurity: 22.7%, 31.1%, and 36.7%. CONCLUSIONS. Mental health problems in mothers and children are more common when mothers are food insecure, a stressor that can potentially be addressed by social policy. Copyright © 2006 by the American Academy of Pediatrics.","author":[{"dropping-particle":"","family":"Whitaker","given":"Robert C.","non-dropping-particle":"","parse-names":false,"suffix":""},{"dropping-particle":"","family":"Phillips","given":"Shannon M.","non-dropping-particle":"","parse-names":false,"suffix":""},{"dropping-particle":"","family":"Orzol","given":"Sean M.","non-dropping-particle":"","parse-names":false,"suffix":""}],"container-title":"Pediatrics","id":"ITEM-1","issue":"3","issued":{"date-parts":[["2006"]]},"title":"Food insecurity and the risks of depression and anxiety in mothers and behavior problems in their preschool-aged children","type":"article-journal","volume":"118"},"uris":["http://www.mendeley.com/documents/?uuid=a4621400-5e8d-4c4e-8f63-72d82c10ad8d"]},{"id":"ITEM-2","itemData":{"DOI":"10.1001/archpediatrics.2012.1","ISSN":"10724710","abstract":"Objectives: To examine how family stressors (household food insecurity and/or caregiver depressive symptoms) relate to child health and whether participation in the Special Supplemental Nutrition Program for Women, Infants, and Children (WIC) attenuates stress-related child health risks. Design: Cross-sectional family stress and cumulative stress models from January 1, 2000, through December 31, 2010. Setting: Families recruited from emergency departments and/or primary care in Baltimore, Boston, Little Rock, Los Angeles, Minneapolis, Philadelphia, and Washington, DC. Participants: Participants included 26 950 WIC-eligible caregivers and children younger than 36 months; 55.2% were black, 29.9% were Hispanic, and 13.0% were white. Caregivers' mean age was 25.6 years; 68.6% were US-born, 64.7% had completed high school, 38.0% were married, and 36.5% were employed. Main Exposures: Of the participants, 24.0% had household food insecurity and 24.4% had depressive symptoms; 9.1% had both stressors, 29.9% had 1 stressor, and 61.0% had neither; 89.7% were WIC participants. Outcome Measures: Caregivers reported child health, lifetime hospitalizations, and developmental risk. Weight and length were measured. We calculated weight-forage and length-for-age z scores and the risk of underweight or overweight. The well-child composite comprised good/excellent health, no hospitalizations, no developmental risk, and neither underweight nor overweight. Results: In multivariate analyses adjusted for covariates, as stressors increased, odds of fair/poor health, hospitalizations, and developmental risk increased and odds of well-child status decreased. Interactions between WIC participation and stressors favored WIC participants over nonparticipants in dual stressor families on 3 child health indicators: (1) fair/poor health: WIC participants, adjusted odds ratio (aOR), 1.89 (95% CI, 1.66-2.14) vs nonparticipants, 2.35 (2.16-4.02); (2) well-child status: WIC participants, 0.73 (0.62-0.84) vs nonparticipants, 0.34 (0.21-0.54); and (3) overweight: WIC participants, 1.01 (0.88-1.16) vs nonparticipants, 1.48 (1.04-2.11) (P=.06). Conclusions: As stressors increased, child health risks increased. WIC participation attenuates but does not eliminate child health risks. © 2012 American Medical Association.","author":[{"dropping-particle":"","family":"Black","given":"Maureen M.","non-dropping-particle":"","parse-names":false,"suffix":""},{"dropping-particle":"","family":"Quigg","given":"Anna M.","non-dropping-particle":"","parse-names":false,"suffix":""},{"dropping-particle":"","family":"Cook","given":"John","non-dropping-particle":"","parse-names":false,"suffix":""},{"dropping-particle":"","family":"Casey","given":"Patrick H.","non-dropping-particle":"","parse-names":false,"suffix":""},{"dropping-particle":"","family":"Cutts","given":"Diana Becker","non-dropping-particle":"","parse-names":false,"suffix":""},{"dropping-particle":"","family":"Chilton","given":"Mariana","non-dropping-particle":"","parse-names":false,"suffix":""},{"dropping-particle":"","family":"Meyers","given":"Alan","non-dropping-particle":"","parse-names":false,"suffix":""},{"dropping-particle":"","family":"Cuba","given":"Stephanie Ettinger","non-dropping-particle":"De","parse-names":false,"suffix":""},{"dropping-particle":"","family":"Heeren","given":"Timothy","non-dropping-particle":"","parse-names":false,"suffix":""},{"dropping-particle":"","family":"Coleman","given":"Sharon","non-dropping-particle":"","parse-names":false,"suffix":""},{"dropping-particle":"","family":"Rose-Jacobs","given":"Ruth","non-dropping-particle":"","parse-names":false,"suffix":""},{"dropping-particle":"","family":"Frank","given":"Deborah A.","non-dropping-particle":"","parse-names":false,"suffix":""}],"container-title":"Archives of Pediatrics and Adolescent Medicine","id":"ITEM-2","issue":"5","issued":{"date-parts":[["2012"]]},"page":"444-451","title":"WIC participation and attenuation of stress-related child health risks of household food insecurity and caregiver depressive symptoms","type":"article-journal","volume":"166"},"uris":["http://www.mendeley.com/documents/?uuid=589d260f-6ff8-489e-bf4b-5c98b1b7bb86"]}],"mendeley":{"formattedCitation":"(Whitaker, Phillips and Orzol, 2006; Black &lt;i&gt;et al.&lt;/i&gt;, 2012)","plainTextFormattedCitation":"(Whitaker, Phillips and Orzol, 2006; Black et al., 2012)","previouslyFormattedCitation":"(Whitaker, Phillips and Orzol, 2006; Black &lt;i&gt;et al.&lt;/i&gt;, 2012)"},"properties":{"noteIndex":0},"schema":"https://github.com/citation-style-language/schema/raw/master/csl-citation.json"}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 xml:space="preserve">(Whitaker, Phillips and Orzol, 2006; Black </w:t>
      </w:r>
      <w:r w:rsidRPr="001C72A7">
        <w:rPr>
          <w:rFonts w:eastAsia="Times New Roman" w:cs="Times New Roman"/>
          <w:i/>
          <w:noProof/>
          <w:sz w:val="22"/>
          <w:szCs w:val="22"/>
          <w:highlight w:val="white"/>
          <w:lang w:val="en"/>
        </w:rPr>
        <w:t>et al.</w:t>
      </w:r>
      <w:r w:rsidRPr="001C72A7">
        <w:rPr>
          <w:rFonts w:eastAsia="Times New Roman" w:cs="Times New Roman"/>
          <w:noProof/>
          <w:sz w:val="22"/>
          <w:szCs w:val="22"/>
          <w:highlight w:val="white"/>
          <w:lang w:val="en"/>
        </w:rPr>
        <w:t>, 2012)</w:t>
      </w:r>
      <w:r w:rsidRPr="001C72A7">
        <w:rPr>
          <w:rFonts w:eastAsia="Times New Roman" w:cs="Times New Roman"/>
          <w:sz w:val="22"/>
          <w:szCs w:val="22"/>
          <w:highlight w:val="white"/>
          <w:lang w:val="en"/>
        </w:rPr>
        <w:fldChar w:fldCharType="end"/>
      </w:r>
      <w:r w:rsidRPr="001C72A7">
        <w:rPr>
          <w:rFonts w:eastAsia="Times New Roman" w:cs="Times New Roman"/>
          <w:sz w:val="22"/>
          <w:szCs w:val="22"/>
          <w:lang w:val="en"/>
        </w:rPr>
        <w:t>.</w:t>
      </w:r>
      <w:r w:rsidRPr="001C72A7">
        <w:rPr>
          <w:rFonts w:eastAsia="Times New Roman" w:cs="Times New Roman"/>
          <w:sz w:val="22"/>
          <w:szCs w:val="22"/>
          <w:highlight w:val="white"/>
          <w:lang w:val="en"/>
        </w:rPr>
        <w:t xml:space="preserve"> This often starts with maternal perinatal nutrition. Food insecurity among other stressors during this period is linked to adverse impacts on a child’s  health, development, and overall welfare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{"citationItems":[{"id":"ITEM-1","itemData":{"DOI":"10.1542/peds.2006-0239","ISSN":"00314005","PMID":"16950971","abstract":"OBJECTIVES. We sought to determine if the prevalence of depression and anxiety in mothers and the prevalence of behavior problems in preschool-aged children are more common when mothers report being food insecure. METHODS. A cross-sectional survey of 2870 mothers of 3-year-old children was conducted in 2001-2003 in 18 large US cities. On the basis of the adult food-security scale calculated from the US Household Food Security Survey Module, mothers were categorized into 3 levels: fully food secure, marginally food secure, and food insecure. The 12-month prevalence in mothers of a major depressive episode and generalized anxiety disorder was assessed by the Composite International Diagnostic Interview-Short Form. A child behavior problem in ≥1 of 3 domains (aggressive, anxious/depressed, or inattention/hyperactivity) was based on the Child Behavior Checklist. RESULTS. Seventy-one percent of the respondents were fully food secure, 17% were marginally food secure, and 12% were food insecure. After adjustment for sociodemographic factors plus maternal physical health, alcohol use, drug use, prenatal smoking, and prenatal physical domestic violence, the percentage of mothers with either major depressive episode or generalized anxiety disorder increased with increasing food insecurity: 16.9%, 21.0%, and 30.3% across the 3 levels. Among children, after further adjustment for maternal major depressive episode and generalized anxiety disorder, the percentage with a behavior problem also increased with increasing food insecurity: 22.7%, 31.1%, and 36.7%. CONCLUSIONS. Mental health problems in mothers and children are more common when mothers are food insecure, a stressor that can potentially be addressed by social policy. Copyright © 2006 by the American Academy of Pediatrics.","author":[{"dropping-particle":"","family":"Whitaker","given":"Robert C.","non-dropping-particle":"","parse-names":false,"suffix":""},{"dropping-particle":"","family":"Phillips","given":"Shannon M.","non-dropping-particle":"","parse-names":false,"suffix":""},{"dropping-particle":"","family":"Orzol","given":"Sean M.","non-dropping-particle":"","parse-names":false,"suffix":""}],"container-title":"Pediatrics","id":"ITEM-1","issue":"3","issued":{"date-parts":[["2006"]]},"title":"Food insecurity and the risks of depression and anxiety in mothers and behavior problems in their preschool-aged children","type":"article-journal","volume":"118"},"uris":["http://www.mendeley.com/documents/?uuid=a4621400-5e8d-4c4e-8f63-72d82c10ad8d"]},{"id":"ITEM-2","itemData":{"URL":"https://www.apa.org/pi/ses/resources/indicator/2012/06/household-food-insecurities","accessed":{"date-parts":[["2020","6","13"]]},"author":[{"dropping-particle":"","family":"Black","given":"Maureen","non-dropping-particle":"","parse-names":false,"suffix":""}],"container-title":"American Psychological Association: The SES indicator","id":"ITEM-2","issued":{"date-parts":[["2012"]]},"title":"Household food insecurities: Threats to children’s well-being","type":"webpage"},"uris":["http://www.mendeley.com/documents/?uuid=2564d70b-4333-3abd-87f7-cb7bce50e3cd"]}],"mendeley":{"formattedCitation":"(Whitaker, Phillips and Orzol, 2006; Black, 2012)","plainTextFormattedCitation":"(Whitaker, Phillips and Orzol, 2006; Black, 2012)","previouslyFormattedCitation":"(Whitaker, Phillips and Orzol, 2006; Black, 2012)"},"properties":{"noteIndex":0},"schema":"https://github.com/citation-style-language/schema/raw/master/csl-citation.json"}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(Whitaker, Phillips and Orzol, 2006; Black, 2012)</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Closely connected to this is the willingness and capacity of the maternal caregiver to provide for the child. Another caregiver pathway to child undernutrition is mother’s mental health status (e.g., depression, anxiety and stress, etc.). Maternal mental health may, in fact, stem from worry and/or shame related to the household’s lack of </w:t>
      </w:r>
      <w:r w:rsidRPr="001C72A7">
        <w:rPr>
          <w:rFonts w:eastAsia="Times New Roman" w:cs="Times New Roman"/>
          <w:sz w:val="22"/>
          <w:szCs w:val="22"/>
          <w:lang w:val="en"/>
        </w:rPr>
        <w:t xml:space="preserve">food and other means </w:t>
      </w:r>
      <w:r w:rsidRPr="001C72A7">
        <w:rPr>
          <w:rFonts w:eastAsia="Times New Roman" w:cs="Times New Roman"/>
          <w:sz w:val="22"/>
          <w:szCs w:val="22"/>
          <w:lang w:val="en"/>
        </w:rPr>
        <w:fldChar w:fldCharType="begin" w:fldLock="1"/>
      </w:r>
      <w:r w:rsidRPr="001C72A7">
        <w:rPr>
          <w:rFonts w:eastAsia="Times New Roman" w:cs="Times New Roman"/>
          <w:sz w:val="22"/>
          <w:szCs w:val="22"/>
          <w:lang w:val="en"/>
        </w:rPr>
        <w:instrText>ADDIN CSL_CITATION {"citationItems":[{"id":"ITEM-1","itemData":{"DOI":"10.1007/s10995-015-1797-8","ISSN":"15736628","abstract":"Objectives: This study among 51 parents of young children under age four investigated how parents that report marginal, low and very low food security characterize how trade-offs associated with food insecurity affect parents’ mental health and child well-being. Methods: We carried out 51 semi-structured audio-recorded interviews after participants responded to a survey regarding food security status and maternal depressive symptoms. Each interview was transcribed. Through a content analysis, we coded “meaning units” in each manuscript and organized them by themes in ATLAS.ti. Among participants reporting both food insecurity and depressive symptoms, we identified three primary areas of concern: trade-offs, mental health, and child well-being. Results: Parents described how trade-offs associated with food insecurity have a profound relationship with their mental health and home environment that strongly affects young children. Descriptions of hardships include anxiety and depression related to overdue bills and shut-off notices, strains with housing costs, and safety. Parents described how their own frustration, anxiety, and depression related to economic hardship have a negative impact on their children’s physical health, and their social and emotional development. Conclusions: Parents in food insecure households recognize that trade-offs between food and other basic necessities are associated with their personal stress and poor mental health that, in turn, affects their children’s health and development. Partnerships between healthcare providers, policymakers, and parents are essential to successfully address and prevent the poor child health outcomes of toxic stress associated with food insecurity and poverty.","author":[{"dropping-particle":"","family":"Knowles","given":"Molly","non-dropping-particle":"","parse-names":false,"suffix":""},{"dropping-particle":"","family":"Rabinowich","given":"Jenny","non-dropping-particle":"","parse-names":false,"suffix":""},{"dropping-particle":"","family":"Ettinger de Cuba","given":"Stephanie","non-dropping-particle":"","parse-names":false,"suffix":""},{"dropping-particle":"","family":"Cutts","given":"Diana Becker","non-dropping-particle":"","parse-names":false,"suffix":""},{"dropping-particle":"","family":"Chilton","given":"Mariana","non-dropping-particle":"","parse-names":false,"suffix":""}],"container-title":"Maternal and Child Health Journal","id":"ITEM-1","issue":"1","issued":{"date-parts":[["2016"]]},"page":"25-32","publisher":"Springer US","title":"“Do You Wanna Breathe or Eat?”: Parent Perspectives on Child Health Consequences of Food Insecurity, Trade-Offs, and Toxic Stress","type":"article-journal","volume":"20"},"uris":["http://www.mendeley.com/documents/?uuid=627c1f05-f1be-46aa-82d9-1d929107c9a3"]}],"mendeley":{"formattedCitation":"(Knowles &lt;i&gt;et al.&lt;/i&gt;, 2016)","plainTextFormattedCitation":"(Knowles et al., 2016)","previouslyFormattedCitation":"(Knowles &lt;i&gt;et al.&lt;/i&gt;, 2016)"},"properties":{"noteIndex":0},"schema":"https://github.com/citation-style-language/schema/raw/master/csl-citation.json"}</w:instrText>
      </w:r>
      <w:r w:rsidRPr="001C72A7">
        <w:rPr>
          <w:rFonts w:eastAsia="Times New Roman" w:cs="Times New Roman"/>
          <w:sz w:val="22"/>
          <w:szCs w:val="22"/>
          <w:lang w:val="en"/>
        </w:rPr>
        <w:fldChar w:fldCharType="separate"/>
      </w:r>
      <w:r w:rsidRPr="001C72A7">
        <w:rPr>
          <w:rFonts w:eastAsia="Times New Roman" w:cs="Times New Roman"/>
          <w:noProof/>
          <w:sz w:val="22"/>
          <w:szCs w:val="22"/>
          <w:lang w:val="en"/>
        </w:rPr>
        <w:t xml:space="preserve">(Knowles </w:t>
      </w:r>
      <w:r w:rsidRPr="001C72A7">
        <w:rPr>
          <w:rFonts w:eastAsia="Times New Roman" w:cs="Times New Roman"/>
          <w:i/>
          <w:noProof/>
          <w:sz w:val="22"/>
          <w:szCs w:val="22"/>
          <w:lang w:val="en"/>
        </w:rPr>
        <w:t>et al.</w:t>
      </w:r>
      <w:r w:rsidRPr="001C72A7">
        <w:rPr>
          <w:rFonts w:eastAsia="Times New Roman" w:cs="Times New Roman"/>
          <w:noProof/>
          <w:sz w:val="22"/>
          <w:szCs w:val="22"/>
          <w:lang w:val="en"/>
        </w:rPr>
        <w:t>, 2016)</w:t>
      </w:r>
      <w:r w:rsidRPr="001C72A7">
        <w:rPr>
          <w:rFonts w:eastAsia="Times New Roman" w:cs="Times New Roman"/>
          <w:sz w:val="22"/>
          <w:szCs w:val="22"/>
          <w:lang w:val="en"/>
        </w:rPr>
        <w:fldChar w:fldCharType="end"/>
      </w:r>
      <w:r w:rsidRPr="001C72A7">
        <w:rPr>
          <w:rFonts w:eastAsia="Times New Roman" w:cs="Times New Roman"/>
          <w:sz w:val="22"/>
          <w:szCs w:val="22"/>
          <w:lang w:val="en"/>
        </w:rPr>
        <w:t>. C</w:t>
      </w:r>
      <w:r w:rsidRPr="001C72A7">
        <w:rPr>
          <w:rFonts w:eastAsia="Times New Roman" w:cs="Times New Roman"/>
          <w:sz w:val="22"/>
          <w:szCs w:val="22"/>
          <w:highlight w:val="white"/>
          <w:lang w:val="en"/>
        </w:rPr>
        <w:t xml:space="preserve">onsequently, a mother may exhibit ineffective infant feeding strategies and behaviors. The economic status of the household is also connected to the caregiver pathway and may correlate with feelings of anxiety and stress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{"citationItems":[{"id":"ITEM-1","itemData":{"DOI":"10.1093/ije/dyu075","ISSN":"14643685","abstract":"Background: Global progress in reducing the burden of undernutrition tends to be measured at the population level. It has been hypothesized that population-level improvements may mask widening socioeconomic inequalities, but little attempt has been made to assess whether this is true. Methods: Original data from 131 demographic health surveys and 48 multiple indicator cluster surveys from 1990 to 2011 were used to examine trends in socioeconomic inequalities in stunting and underweight, as well as the relationship between changes in prevalence and changes in inequality, in 80 countries. Socioeconomic inequality is measured using the corrected concentration index. Results: Countries with a higher prevalence of stunting tend to have larger socioeconomic inequalities in stunting (Spearman rank correlation=-0.27 P=0.014). In most countries, there has been no change in inequality in stunting: in 31 out of 53, the 90% confidence intervals around the changes overlap the zero value. In the remaining 22, there was a reduction in inequality in 11 and an increase in 11. The distributional patterns underlying the summary inequality statistics vary considerably across countries, but in most there have been considerable gains to the poorest quintile. Conclusions: Reductions in the prevalence of undernutrition have generally not been accompanied by widening inequalities. However, inequalities have also not been narrowing. Rather, the picture is one of a strong persistence of existing inequalities. In addition, there are different distributional patterns underlying changes in the summary indices of inequality which will need to be taken into consideration in designing programmes to reach the poor. © The Author 2014; Published by Oxford University Press on behalf of the International Epidemiological Association all rights reserved.","author":[{"dropping-particle":"","family":"Bredenkamp","given":"Caryn","non-dropping-particle":"","parse-names":false,"suffix":""},{"dropping-particle":"","family":"Buisman","given":"Leander R.","non-dropping-particle":"","parse-names":false,"suffix":""},{"dropping-particle":"","family":"Poel","given":"Ellen","non-dropping-particle":"Van de","parse-names":false,"suffix":""}],"container-title":"International Journal of Epidemiology","id":"ITEM-1","issue":"4","issued":{"date-parts":[["2014"]]},"page":"1328-1335","title":"Persistent inequalities in child undernutrition: Evidence from 80 countries, from 1990 to today","type":"article-journal","volume":"43"},"uris":["http://www.mendeley.com/documents/?uuid=d426fc34-b577-489b-b7cc-6f32173453d5"]}],"mendeley":{"formattedCitation":"(Bredenkamp, Buisman and Van de Poel, 2014)","plainTextFormattedCitation":"(Bredenkamp, Buisman and Van de Poel, 2014)","previouslyFormattedCitation":"(Bredenkamp, Buisman and Van de Poel, 2014)"},"properties":{"noteIndex":0},"schema":"https://github.com/citation-style-language/schema/raw/master/csl-citation.json"}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(Bredenkamp, Buisman and Van de Poel, 2014)</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w:t>
      </w:r>
    </w:p>
    <w:p w:rsidR="001C72A7" w:rsidRPr="001C72A7" w:rsidRDefault="001C72A7" w:rsidP="001C72A7">
      <w:pPr>
        <w:spacing w:line="360" w:lineRule="auto"/>
        <w:rPr>
          <w:rFonts w:eastAsia="Times New Roman" w:cs="Times New Roman"/>
          <w:sz w:val="22"/>
          <w:szCs w:val="22"/>
          <w:lang w:val="en"/>
        </w:rPr>
      </w:pPr>
      <w:r w:rsidRPr="001C72A7">
        <w:rPr>
          <w:rFonts w:eastAsia="Times New Roman" w:cs="Times New Roman"/>
          <w:b/>
          <w:sz w:val="22"/>
          <w:szCs w:val="22"/>
          <w:highlight w:val="white"/>
          <w:lang w:val="en"/>
        </w:rPr>
        <w:t xml:space="preserve">Contextual Pathway. </w:t>
      </w:r>
      <w:r w:rsidRPr="001C72A7">
        <w:rPr>
          <w:rFonts w:eastAsia="Times New Roman" w:cs="Times New Roman"/>
          <w:sz w:val="22"/>
          <w:szCs w:val="22"/>
          <w:lang w:val="en"/>
        </w:rPr>
        <w:t xml:space="preserve">Multiple contextual links have been identified with respect to food insecurity and child malnutrition. Prominent among these are climate variability, including extreme weather events, poor farming methods, absence of comprehensive policy responses, and distribution obstacles </w:t>
      </w:r>
      <w:r w:rsidRPr="001C72A7">
        <w:rPr>
          <w:rFonts w:eastAsia="Times New Roman" w:cs="Times New Roman"/>
          <w:sz w:val="22"/>
          <w:szCs w:val="22"/>
          <w:lang w:val="en"/>
        </w:rPr>
        <w:fldChar w:fldCharType="begin" w:fldLock="1"/>
      </w:r>
      <w:r w:rsidRPr="001C72A7">
        <w:rPr>
          <w:rFonts w:eastAsia="Times New Roman" w:cs="Times New Roman"/>
          <w:sz w:val="22"/>
          <w:szCs w:val="22"/>
          <w:lang w:val="en"/>
        </w:rPr>
        <w:instrText>ADDIN CSL_CITATION {"citationItems":[{"id":"ITEM-1","itemData":{"DOI":"10.4178/epih.e2019015","ISSN":"20927193","abstract":"OBJECTIVES: The cholera outbreak in Yemen has become the largest in the recent history of cholera records, having reached more than 1.4 million cases since it started in late 2016. This study aimed to identify risk factors for cholera in this outbreak. METHODS: A case-control study was conducted in Aden in 2018 to investigate risk factors for cholera in this still-ongoing outbreak. In total, 59 cholera cases and 118 community controls were studied. RESULTS: The following risk factors were associated with being a cholera case in the bivariate analysis: a history of travelling and having had visitors from outside Aden Province; eating outside the house; not washing fruit, vegetables, and khat (a local herbal stimulant) before consumption; using common-source water; and not using chlorine or soap in the household. In the multivariate analysis, not washing khat and the use of common-source water remained significant risk factors for being a cholera case. CONCLUSIONS: Behavioural factors and unsafe water appear to be the major risk factors in the recent cholera outbreak in Yemen. In order to reduce the risk of cholera, hygiene practices for washing khat and vegetables and the use and accessibility of safe drinking water should be promoted at the community level.","author":[{"dropping-particle":"","family":"Dureab","given":"Fekri","non-dropping-particle":"","parse-names":false,"suffix":""},{"dropping-particle":"","family":"Jahn","given":"Albrecht","non-dropping-particle":"","parse-names":false,"suffix":""},{"dropping-particle":"","family":"Krisam","given":"Johannes","non-dropping-particle":"","parse-names":false,"suffix":""},{"dropping-particle":"","family":"Dureab","given":"Asma","non-dropping-particle":"","parse-names":false,"suffix":""},{"dropping-particle":"","family":"Zain","given":"Omer","non-dropping-particle":"","parse-names":false,"suffix":""},{"dropping-particle":"","family":"Al-Awlaqi","given":"Sameh","non-dropping-particle":"","parse-names":false,"suffix":""},{"dropping-particle":"","family":"Müller","given":"Olaf","non-dropping-particle":"","parse-names":false,"suffix":""}],"container-title":"Epidemiology and health","id":"ITEM-1","issue":"March 2015","issued":{"date-parts":[["2019"]]},"page":"e2019015","title":"Risk factors associated with the recent cholera outbreak in Yemen: a case-control study","type":"article-journal","volume":"41"},"uris":["http://www.mendeley.com/documents/?uuid=e9526110-4bb9-48a0-8e59-b902e924ad36"]},{"id":"ITEM-2","itemData":{"ISBN":"9789251315705","author":[{"dropping-particle":"","family":"FAO","given":"","non-dropping-particle":"","parse-names":false,"suffix":""},{"dropping-particle":"","family":"IFAD","given":"","non-dropping-particle":"","parse-names":false,"suffix":""},{"dropping-particle":"","family":"UNICEF","given":"","non-dropping-particle":"","parse-names":false,"suffix":""},{"dropping-particle":"","family":"WFP","given":"","non-dropping-particle":"","parse-names":false,"suffix":""},{"dropping-particle":"","family":"WHO","given":"","non-dropping-particle":"","parse-names":false,"suffix":""}],"id":"ITEM-2","issued":{"date-parts":[["2019"]]},"publisher":"FOOD &amp; AGRICULTURE ORG","publisher-place":"Rome","title":"The state of food security and nutrition in the world 2019: Safeguarding against economic slowdowns and downturns.","type":"report"},"uris":["http://www.mendeley.com/documents/?uuid=6e0a38e7-727d-3a80-9ca3-9dc126c56d8e"]},{"id":"ITEM-3","itemData":{"DOI":"ISSN 1728-9246","ISBN":"9788578110796","ISSN":"1098-6596","PMID":"25246403","abstract":"Currently, the world is faced with an unprecedented call for action at a moment in which four countries have been identified as at risk of famine, and demand for humanitarian and resilience assistance is escalating. Against this background, informing the global and national food security community on the risk of food crises and on the severity of such crises is of fundamental importance. In recent years, stakeholders have made major investments to improve food security analysis and related early warning systems in order to prevent and tackle food crises more efficiently. Although significant improvements have been made over time in the methods and technologies used to improve the quality and timeliness of food security assessments and monitoring systems, a comprehensive global pictures of food crises is still often missing. Partial geographical coverage and a lack of comparable data within a standardised system make it difficult to get a full global picture of food crises at any given time. The European Union, WFP and FAO have joined forces to coordinate the compilation of analyses to increase the impact of humanitarian and resilience responses through the preparation of the “Global report on Food Crises”. The Global Report enhances coordination and decision-making through a neutral analysis that informs program planning and implementation. The key objective and strength of the report is to establish a consultative and consensus-based process to compile food insecurity analysis from throughout the world into a global public product to inform annual planning and resource allocation decisions. Technical, operational and financial partners require evidence-based information to ensure appropriate planning and resources to tackle the consequences of food security crises within an evolving humanitarian financing landscape. The World Humanitarian Summit has prompted a major rethink of the way response financing is delivered in crisis settings, highlighting the need for more long-term development investments to address risk, prevent crises and build resilience. Since 2013, the European Commission has worked to develop ways to compare and clarify the results of food security analyses across partners and geographical areas to provide a comprehensive overview of the global food security situation. In 2015, the Joint Research Centre of the European Commission (ECJRC) produced an annual report on food insecurity hotspots to inform decisions on food crisis allocation…","author":[{"dropping-particle":"","family":"FSIN","given":"","non-dropping-particle":"","parse-names":false,"suffix":""}],"container-title":"World Food Programme","id":"ITEM-3","issued":{"date-parts":[["2019"]]},"title":"Global Report on Food Crises 2019","type":"report"},"uris":["http://www.mendeley.com/documents/?uuid=f9be4e4f-6093-43c4-9996-c35cc659ab71"]},{"id":"ITEM-4","itemData":{"DOI":"10.1016/S0140-6736(16)31698-1","ISSN":"1474547X","abstract":"Building on long-term benefits of early intervention (Paper 2 of this Series) and increasing commitment to early childhood development (Paper 1 of this Series), scaled up support for the youngest children is essential to improving health, human capital, and wellbeing across the life course. In this third paper, new analyses show that the burden of poor development is higher than estimated, taking into account additional risk factors. National programmes are needed. Greater political prioritisation is core to scale-up, as are policies that afford families time and financial resources to provide nurturing care for young children. Effective and feasible programmes to support early child development are now available. All sectors, particularly education, and social and child protection, must play a role to meet the holistic needs of young children. However, health provides a critical starting point for scaling up, given its reach to pregnant women, families, and young children. Starting at conception, interventions to promote nurturing care can feasibly build on existing health and nutrition services at limited additional cost. Failure to scale up has severe personal and social consequences. Children at elevated risk for compromised development due to stunting and poverty are likely to forgo about a quarter of average adult income per year, and the cost of inaction to gross domestic product can be double what some countries currently spend on health. Services and interventions to support early childhood development are essential to realising the vision of the Sustainable Development Goals.","author":[{"dropping-particle":"","family":"Richter","given":"Linda M.","non-dropping-particle":"","parse-names":false,"suffix":""},{"dropping-particle":"","family":"Daelmans","given":"Bernadette","non-dropping-particle":"","parse-names":false,"suffix":""},{"dropping-particle":"","family":"Lombardi","given":"Joan","non-dropping-particle":"","parse-names":false,"suffix":""},{"dropping-particle":"","family":"Heymann","given":"Jody","non-dropping-particle":"","parse-names":false,"suffix":""},{"dropping-particle":"","family":"Boo","given":"Florencia Lopez","non-dropping-particle":"","parse-names":false,"suffix":""},{"dropping-particle":"","family":"Behrman","given":"Jere R.","non-dropping-particle":"","parse-names":false,"suffix":""},{"dropping-particle":"","family":"Lu","given":"Chunling","non-dropping-particle":"","parse-names":false,"suffix":""},{"dropping-particle":"","family":"Lucas","given":"Jane E.","non-dropping-particle":"","parse-names":false,"suffix":""},{"dropping-particle":"","family":"Perez-Escamilla","given":"Rafael","non-dropping-particle":"","parse-names":false,"suffix":""},{"dropping-particle":"","family":"Dua","given":"Tarun","non-dropping-particle":"","parse-names":false,"suffix":""},{"dropping-particle":"","family":"Bhutta","given":"Zulfiqar A.","non-dropping-particle":"","parse-names":false,"suffix":""},{"dropping-particle":"","family":"Stenberg","given":"Karin","non-dropping-particle":"","parse-names":false,"suffix":""},{"dropping-particle":"","family":"Gertler","given":"Paul","non-dropping-particle":"","parse-names":false,"suffix":""},{"dropping-particle":"","family":"Darmstadt","given":"Gary L.","non-dropping-particle":"","parse-names":false,"suffix":""}],"container-title":"The Lancet","id":"ITEM-4","issue":"10064","issued":{"date-parts":[["2017"]]},"page":"103-118","title":"Investing in the foundation of sustainable development: pathways to scale up for early childhood development","type":"article-journal","volume":"389"},"uris":["http://www.mendeley.com/documents/?uuid=3032dcce-70f5-47e8-af37-a57fb4981cf4"]}],"mendeley":{"formattedCitation":"(Richter &lt;i&gt;et al.&lt;/i&gt;, 2017; Dureab &lt;i&gt;et al.&lt;/i&gt;, 2019; FAO &lt;i&gt;et al.&lt;/i&gt;, 2019; FSIN, 2019)","plainTextFormattedCitation":"(Richter et al., 2017; Dureab et al., 2019; FAO et al., 2019; FSIN, 2019)","previouslyFormattedCitation":"(Richter &lt;i&gt;et al.&lt;/i&gt;, 2017; Dureab &lt;i&gt;et al.&lt;/i&gt;, 2019; FAO &lt;i&gt;et al.&lt;/i&gt;, 2019; FSIN, 2019)"},"properties":{"noteIndex":0},"schema":"https://github.com/citation-style-language/schema/raw/master/csl-citation.json"}</w:instrText>
      </w:r>
      <w:r w:rsidRPr="001C72A7">
        <w:rPr>
          <w:rFonts w:eastAsia="Times New Roman" w:cs="Times New Roman"/>
          <w:sz w:val="22"/>
          <w:szCs w:val="22"/>
          <w:lang w:val="en"/>
        </w:rPr>
        <w:fldChar w:fldCharType="separate"/>
      </w:r>
      <w:r w:rsidRPr="001C72A7">
        <w:rPr>
          <w:rFonts w:eastAsia="Times New Roman" w:cs="Times New Roman"/>
          <w:noProof/>
          <w:sz w:val="22"/>
          <w:szCs w:val="22"/>
          <w:lang w:val="en"/>
        </w:rPr>
        <w:t xml:space="preserve">(Richter </w:t>
      </w:r>
      <w:r w:rsidRPr="001C72A7">
        <w:rPr>
          <w:rFonts w:eastAsia="Times New Roman" w:cs="Times New Roman"/>
          <w:i/>
          <w:noProof/>
          <w:sz w:val="22"/>
          <w:szCs w:val="22"/>
          <w:lang w:val="en"/>
        </w:rPr>
        <w:t>et al.</w:t>
      </w:r>
      <w:r w:rsidRPr="001C72A7">
        <w:rPr>
          <w:rFonts w:eastAsia="Times New Roman" w:cs="Times New Roman"/>
          <w:noProof/>
          <w:sz w:val="22"/>
          <w:szCs w:val="22"/>
          <w:lang w:val="en"/>
        </w:rPr>
        <w:t xml:space="preserve">, 2017; Dureab </w:t>
      </w:r>
      <w:r w:rsidRPr="001C72A7">
        <w:rPr>
          <w:rFonts w:eastAsia="Times New Roman" w:cs="Times New Roman"/>
          <w:i/>
          <w:noProof/>
          <w:sz w:val="22"/>
          <w:szCs w:val="22"/>
          <w:lang w:val="en"/>
        </w:rPr>
        <w:t>et al.</w:t>
      </w:r>
      <w:r w:rsidRPr="001C72A7">
        <w:rPr>
          <w:rFonts w:eastAsia="Times New Roman" w:cs="Times New Roman"/>
          <w:noProof/>
          <w:sz w:val="22"/>
          <w:szCs w:val="22"/>
          <w:lang w:val="en"/>
        </w:rPr>
        <w:t xml:space="preserve">, 2019; FAO </w:t>
      </w:r>
      <w:r w:rsidRPr="001C72A7">
        <w:rPr>
          <w:rFonts w:eastAsia="Times New Roman" w:cs="Times New Roman"/>
          <w:i/>
          <w:noProof/>
          <w:sz w:val="22"/>
          <w:szCs w:val="22"/>
          <w:lang w:val="en"/>
        </w:rPr>
        <w:t>et al.</w:t>
      </w:r>
      <w:r w:rsidRPr="001C72A7">
        <w:rPr>
          <w:rFonts w:eastAsia="Times New Roman" w:cs="Times New Roman"/>
          <w:noProof/>
          <w:sz w:val="22"/>
          <w:szCs w:val="22"/>
          <w:lang w:val="en"/>
        </w:rPr>
        <w:t>, 2019; FSIN, 2019)</w:t>
      </w:r>
      <w:r w:rsidRPr="001C72A7">
        <w:rPr>
          <w:rFonts w:eastAsia="Times New Roman" w:cs="Times New Roman"/>
          <w:sz w:val="22"/>
          <w:szCs w:val="22"/>
          <w:lang w:val="en"/>
        </w:rPr>
        <w:fldChar w:fldCharType="end"/>
      </w:r>
      <w:r w:rsidRPr="001C72A7">
        <w:rPr>
          <w:rFonts w:eastAsia="Times New Roman" w:cs="Times New Roman"/>
          <w:sz w:val="22"/>
          <w:szCs w:val="22"/>
          <w:lang w:val="en"/>
        </w:rPr>
        <w:t xml:space="preserve">. For sub-Saharan Africa, the situation is often compounded by civil unrest and population displacements </w:t>
      </w:r>
      <w:r w:rsidRPr="001C72A7">
        <w:rPr>
          <w:rFonts w:eastAsia="Times New Roman" w:cs="Times New Roman"/>
          <w:sz w:val="22"/>
          <w:szCs w:val="22"/>
          <w:lang w:val="en"/>
        </w:rPr>
        <w:fldChar w:fldCharType="begin" w:fldLock="1"/>
      </w:r>
      <w:r w:rsidRPr="001C72A7">
        <w:rPr>
          <w:rFonts w:eastAsia="Times New Roman" w:cs="Times New Roman"/>
          <w:sz w:val="22"/>
          <w:szCs w:val="22"/>
          <w:lang w:val="en"/>
        </w:rPr>
        <w:instrText>ADDIN CSL_CITATION {"citationItems":[{"id":"ITEM-1","itemData":{"abstract":"Extreme climate events – mainly drought – were also major triggers of food crises in 23 countries with over 39 million food-insecure people in need of urgent assistance in 2017.","author":[{"dropping-particle":"","family":"FSIN","given":"","non-dropping-particle":"","parse-names":false,"suffix":""}],"container-title":"Food Security Information Network","id":"ITEM-1","issued":{"date-parts":[["2018"]]},"page":"202","title":"Global Report on Food Crisis 2018","type":"article-journal"},"uris":["http://www.mendeley.com/documents/?uuid=daab04a1-7b78-45b7-a815-d227b7e94ef1"]},{"id":"ITEM-2","itemData":{"DOI":"ISSN 1728-9246","ISBN":"9788578110796","ISSN":"1098-6596","PMID":"25246403","abstract":"Currently, the world is faced with an unprecedented call for action at a moment in which four countries have been identified as at risk of famine, and demand for humanitarian and resilience assistance is escalating. Against this background, informing the global and national food security community on the risk of food crises and on the severity of such crises is of fundamental importance. In recent years, stakeholders have made major investments to improve food security analysis and related early warning systems in order to prevent and tackle food crises more efficiently. Although significant improvements have been made over time in the methods and technologies used to improve the quality and timeliness of food security assessments and monitoring systems, a comprehensive global pictures of food crises is still often missing. Partial geographical coverage and a lack of comparable data within a standardised system make it difficult to get a full global picture of food crises at any given time. The European Union, WFP and FAO have joined forces to coordinate the compilation of analyses to increase the impact of humanitarian and resilience responses through the preparation of the “Global report on Food Crises”. The Global Report enhances coordination and decision-making through a neutral analysis that informs program planning and implementation. The key objective and strength of the report is to establish a consultative and consensus-based process to compile food insecurity analysis from throughout the world into a global public product to inform annual planning and resource allocation decisions. Technical, operational and financial partners require evidence-based information to ensure appropriate planning and resources to tackle the consequences of food security crises within an evolving humanitarian financing landscape. The World Humanitarian Summit has prompted a major rethink of the way response financing is delivered in crisis settings, highlighting the need for more long-term development investments to address risk, prevent crises and build resilience. Since 2013, the European Commission has worked to develop ways to compare and clarify the results of food security analyses across partners and geographical areas to provide a comprehensive overview of the global food security situation. In 2015, the Joint Research Centre of the European Commission (ECJRC) produced an annual report on food insecurity hotspots to inform decisions on food crisis allocation…","author":[{"dropping-particle":"","family":"FSIN","given":"","non-dropping-particle":"","parse-names":false,"suffix":""}],"container-title":"World Food Programme","id":"ITEM-2","issued":{"date-parts":[["2019"]]},"title":"Global Report on Food Crises 2019","type":"report"},"uris":["http://www.mendeley.com/documents/?uuid=f9be4e4f-6093-43c4-9996-c35cc659ab71"]}],"mendeley":{"formattedCitation":"(FSIN, 2018, 2019)","plainTextFormattedCitation":"(FSIN, 2018, 2019)","previouslyFormattedCitation":"(FSIN, 2018, 2019)"},"properties":{"noteIndex":0},"schema":"https://github.com/citation-style-language/schema/raw/master/csl-citation.json"}</w:instrText>
      </w:r>
      <w:r w:rsidRPr="001C72A7">
        <w:rPr>
          <w:rFonts w:eastAsia="Times New Roman" w:cs="Times New Roman"/>
          <w:sz w:val="22"/>
          <w:szCs w:val="22"/>
          <w:lang w:val="en"/>
        </w:rPr>
        <w:fldChar w:fldCharType="separate"/>
      </w:r>
      <w:r w:rsidRPr="001C72A7">
        <w:rPr>
          <w:rFonts w:eastAsia="Times New Roman" w:cs="Times New Roman"/>
          <w:noProof/>
          <w:sz w:val="22"/>
          <w:szCs w:val="22"/>
          <w:lang w:val="en"/>
        </w:rPr>
        <w:t>(FSIN, 2018, 2019)</w:t>
      </w:r>
      <w:r w:rsidRPr="001C72A7">
        <w:rPr>
          <w:rFonts w:eastAsia="Times New Roman" w:cs="Times New Roman"/>
          <w:sz w:val="22"/>
          <w:szCs w:val="22"/>
          <w:lang w:val="en"/>
        </w:rPr>
        <w:fldChar w:fldCharType="end"/>
      </w:r>
      <w:r w:rsidRPr="001C72A7">
        <w:rPr>
          <w:rFonts w:eastAsia="Times New Roman" w:cs="Times New Roman"/>
          <w:sz w:val="22"/>
          <w:szCs w:val="22"/>
          <w:lang w:val="en"/>
        </w:rPr>
        <w:t xml:space="preserve">. The elements of this pathway are briefly highlighted below. </w:t>
      </w:r>
    </w:p>
    <w:p w:rsidR="001C72A7" w:rsidRPr="001C72A7" w:rsidRDefault="001C72A7" w:rsidP="001C72A7">
      <w:pPr>
        <w:spacing w:line="360" w:lineRule="auto"/>
        <w:rPr>
          <w:rFonts w:eastAsia="Times New Roman" w:cs="Times New Roman"/>
          <w:sz w:val="22"/>
          <w:szCs w:val="22"/>
          <w:highlight w:val="white"/>
          <w:lang w:val="en"/>
        </w:rPr>
      </w:pPr>
      <w:r w:rsidRPr="001C72A7">
        <w:rPr>
          <w:rFonts w:eastAsia="Times New Roman" w:cs="Times New Roman"/>
          <w:i/>
          <w:sz w:val="22"/>
          <w:szCs w:val="22"/>
          <w:highlight w:val="white"/>
          <w:lang w:val="en"/>
        </w:rPr>
        <w:t>Conflict and Civil Unrest.</w:t>
      </w:r>
      <w:r w:rsidRPr="001C72A7">
        <w:rPr>
          <w:rFonts w:eastAsia="Times New Roman" w:cs="Times New Roman"/>
          <w:b/>
          <w:sz w:val="22"/>
          <w:szCs w:val="22"/>
          <w:highlight w:val="white"/>
          <w:lang w:val="en"/>
        </w:rPr>
        <w:t xml:space="preserve"> </w:t>
      </w:r>
      <w:r w:rsidRPr="001C72A7">
        <w:rPr>
          <w:rFonts w:eastAsia="Times New Roman" w:cs="Times New Roman"/>
          <w:sz w:val="22"/>
          <w:szCs w:val="22"/>
          <w:highlight w:val="white"/>
          <w:lang w:val="en"/>
        </w:rPr>
        <w:t>C</w:t>
      </w:r>
      <w:r w:rsidRPr="001C72A7">
        <w:rPr>
          <w:rFonts w:eastAsia="Times New Roman" w:cs="Times New Roman"/>
          <w:sz w:val="22"/>
          <w:szCs w:val="22"/>
          <w:lang w:val="en"/>
        </w:rPr>
        <w:t xml:space="preserve">onflict, civil unrest, and insecurity continue to be the primary drivers of food insecurity affecting about two billion people across the world, with one in four children in the world living in a country impacted by conflict or disaster </w:t>
      </w:r>
      <w:r w:rsidRPr="001C72A7">
        <w:rPr>
          <w:rFonts w:eastAsia="Times New Roman" w:cs="Times New Roman"/>
          <w:sz w:val="22"/>
          <w:szCs w:val="22"/>
          <w:lang w:val="en"/>
        </w:rPr>
        <w:fldChar w:fldCharType="begin" w:fldLock="1"/>
      </w:r>
      <w:r w:rsidRPr="001C72A7">
        <w:rPr>
          <w:rFonts w:eastAsia="Times New Roman" w:cs="Times New Roman"/>
          <w:sz w:val="22"/>
          <w:szCs w:val="22"/>
          <w:lang w:val="en"/>
        </w:rPr>
        <w:instrText>ADDIN CSL_CITATION {"citationItems":[{"id":"ITEM-1","itemData":{"author":[{"dropping-particle":"","family":"UNOCHA","given":"","non-dropping-particle":"","parse-names":false,"suffix":""}],"id":"ITEM-1","issued":{"date-parts":[["2019"]]},"title":"United nations coordinated support to people affected by disaster and conflict","type":"report"},"uris":["http://www.mendeley.com/documents/?uuid=fa492d91-de49-412c-8102-fa8882500260"]},{"id":"ITEM-2","itemData":{"ISBN":"9789251315705","author":[{"dropping-particle":"","family":"FAO","given":"","non-dropping-particle":"","parse-names":false,"suffix":""},{"dropping-particle":"","family":"IFAD","given":"","non-dropping-particle":"","parse-names":false,"suffix":""},{"dropping-particle":"","family":"UNICEF","given":"","non-dropping-particle":"","parse-names":false,"suffix":""},{"dropping-particle":"","family":"WFP","given":"","non-dropping-particle":"","parse-names":false,"suffix":""},{"dropping-particle":"","family":"WHO","given":"","non-dropping-particle":"","parse-names":false,"suffix":""}],"id":"ITEM-2","issued":{"date-parts":[["2019"]]},"publisher":"FOOD &amp; AGRICULTURE ORG","publisher-place":"Rome","title":"The state of food security and nutrition in the world 2019: Safeguarding against economic slowdowns and downturns.","type":"report"},"uris":["http://www.mendeley.com/documents/?uuid=6e0a38e7-727d-3a80-9ca3-9dc126c56d8e"]}],"mendeley":{"formattedCitation":"(FAO &lt;i&gt;et al.&lt;/i&gt;, 2019; UNOCHA, 2019)","plainTextFormattedCitation":"(FAO et al., 2019; UNOCHA, 2019)","previouslyFormattedCitation":"(FAO &lt;i&gt;et al.&lt;/i&gt;, 2019; UNOCHA, 2019)"},"properties":{"noteIndex":0},"schema":"https://github.com/citation-style-language/schema/raw/master/csl-citation.json"}</w:instrText>
      </w:r>
      <w:r w:rsidRPr="001C72A7">
        <w:rPr>
          <w:rFonts w:eastAsia="Times New Roman" w:cs="Times New Roman"/>
          <w:sz w:val="22"/>
          <w:szCs w:val="22"/>
          <w:lang w:val="en"/>
        </w:rPr>
        <w:fldChar w:fldCharType="separate"/>
      </w:r>
      <w:r w:rsidRPr="001C72A7">
        <w:rPr>
          <w:rFonts w:eastAsia="Times New Roman" w:cs="Times New Roman"/>
          <w:noProof/>
          <w:sz w:val="22"/>
          <w:szCs w:val="22"/>
          <w:lang w:val="en"/>
        </w:rPr>
        <w:t xml:space="preserve">(FAO </w:t>
      </w:r>
      <w:r w:rsidRPr="001C72A7">
        <w:rPr>
          <w:rFonts w:eastAsia="Times New Roman" w:cs="Times New Roman"/>
          <w:i/>
          <w:noProof/>
          <w:sz w:val="22"/>
          <w:szCs w:val="22"/>
          <w:lang w:val="en"/>
        </w:rPr>
        <w:t>et al.</w:t>
      </w:r>
      <w:r w:rsidRPr="001C72A7">
        <w:rPr>
          <w:rFonts w:eastAsia="Times New Roman" w:cs="Times New Roman"/>
          <w:noProof/>
          <w:sz w:val="22"/>
          <w:szCs w:val="22"/>
          <w:lang w:val="en"/>
        </w:rPr>
        <w:t>, 2019; UNOCHA, 2019)</w:t>
      </w:r>
      <w:r w:rsidRPr="001C72A7">
        <w:rPr>
          <w:rFonts w:eastAsia="Times New Roman" w:cs="Times New Roman"/>
          <w:sz w:val="22"/>
          <w:szCs w:val="22"/>
          <w:lang w:val="en"/>
        </w:rPr>
        <w:fldChar w:fldCharType="end"/>
      </w:r>
      <w:r w:rsidRPr="001C72A7">
        <w:rPr>
          <w:rFonts w:eastAsia="Times New Roman" w:cs="Times New Roman"/>
          <w:sz w:val="22"/>
          <w:szCs w:val="22"/>
          <w:lang w:val="en"/>
        </w:rPr>
        <w:t xml:space="preserve">. In the year 2017, the 18 countries with the most food insecure people were ones that experienced conflict and more than half of these countries were in Africa including Nigeria (northern region), Democratic Republic of Congo, Somalia, and South Sudan </w:t>
      </w:r>
      <w:r w:rsidRPr="001C72A7">
        <w:rPr>
          <w:rFonts w:eastAsia="Times New Roman" w:cs="Times New Roman"/>
          <w:sz w:val="22"/>
          <w:szCs w:val="22"/>
          <w:lang w:val="en"/>
        </w:rPr>
        <w:fldChar w:fldCharType="begin" w:fldLock="1"/>
      </w:r>
      <w:r w:rsidRPr="001C72A7">
        <w:rPr>
          <w:rFonts w:eastAsia="Times New Roman" w:cs="Times New Roman"/>
          <w:sz w:val="22"/>
          <w:szCs w:val="22"/>
          <w:lang w:val="en"/>
        </w:rPr>
        <w:instrText>ADDIN CSL_CITATION {"citationItems":[{"id":"ITEM-1","itemData":{"abstract":"Extreme climate events – mainly drought – were also major triggers of food crises in 23 countries with over 39 million food-insecure people in need of urgent assistance in 2017.","author":[{"dropping-particle":"","family":"FSIN","given":"","non-dropping-particle":"","parse-names":false,"suffix":""}],"container-title":"Food Security Information Network","id":"ITEM-1","issued":{"date-parts":[["2018"]]},"page":"202","title":"Global Report on Food Crisis 2018","type":"article-journal"},"uris":["http://www.mendeley.com/documents/?uuid=daab04a1-7b78-45b7-a815-d227b7e94ef1"]}],"mendeley":{"formattedCitation":"(FSIN, 2018)","plainTextFormattedCitation":"(FSIN, 2018)","previouslyFormattedCitation":"(FSIN, 2018)"},"properties":{"noteIndex":0},"schema":"https://github.com/citation-style-language/schema/raw/master/csl-citation.json"}</w:instrText>
      </w:r>
      <w:r w:rsidRPr="001C72A7">
        <w:rPr>
          <w:rFonts w:eastAsia="Times New Roman" w:cs="Times New Roman"/>
          <w:sz w:val="22"/>
          <w:szCs w:val="22"/>
          <w:lang w:val="en"/>
        </w:rPr>
        <w:fldChar w:fldCharType="separate"/>
      </w:r>
      <w:r w:rsidRPr="001C72A7">
        <w:rPr>
          <w:rFonts w:eastAsia="Times New Roman" w:cs="Times New Roman"/>
          <w:noProof/>
          <w:sz w:val="22"/>
          <w:szCs w:val="22"/>
          <w:lang w:val="en"/>
        </w:rPr>
        <w:t>(FSIN, 2018)</w:t>
      </w:r>
      <w:r w:rsidRPr="001C72A7">
        <w:rPr>
          <w:rFonts w:eastAsia="Times New Roman" w:cs="Times New Roman"/>
          <w:sz w:val="22"/>
          <w:szCs w:val="22"/>
          <w:lang w:val="en"/>
        </w:rPr>
        <w:fldChar w:fldCharType="end"/>
      </w:r>
      <w:r w:rsidRPr="001C72A7">
        <w:rPr>
          <w:rFonts w:eastAsia="Times New Roman" w:cs="Times New Roman"/>
          <w:sz w:val="22"/>
          <w:szCs w:val="22"/>
          <w:lang w:val="en"/>
        </w:rPr>
        <w:t xml:space="preserve">. </w:t>
      </w:r>
      <w:r w:rsidRPr="001C72A7">
        <w:rPr>
          <w:rFonts w:eastAsia="Times New Roman" w:cs="Times New Roman"/>
          <w:sz w:val="22"/>
          <w:szCs w:val="22"/>
          <w:highlight w:val="white"/>
          <w:lang w:val="en"/>
        </w:rPr>
        <w:t xml:space="preserve">The situation in countries experiencing protracted civil unrest is further exacerbated by a breakdown of social order, disrupted farming, compromised infrastructure, and outbreaks of diseases such as cholera, diarrhea, and malaria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{"citationItems":[{"id":"ITEM-1","itemData":{"DOI":"ISSN 1728-9246","ISBN":"9788578110796","ISSN":"1098-6596","PMID":"25246403","abstract":"Currently, the world is faced with an unprecedented call for action at a moment in which four countries have been identified as at risk of famine, and demand for humanitarian and resilience assistance is escalating. Against this background, informing the global and national food security community on the risk of food crises and on the severity of such crises is of fundamental importance. In recent years, stakeholders have made major investments to improve food security analysis and related early warning systems in order to prevent and tackle food crises more efficiently. Although significant improvements have been made over time in the methods and technologies used to improve the quality and timeliness of food security assessments and monitoring systems, a comprehensive global pictures of food crises is still often missing. Partial geographical coverage and a lack of comparable data within a standardised system make it difficult to get a full global picture of food crises at any given time. The European Union, WFP and FAO have joined forces to coordinate the compilation of analyses to increase the impact of humanitarian and resilience responses through the preparation of the “Global report on Food Crises”. The Global Report enhances coordination and decision-making through a neutral analysis that informs program planning and implementation. The key objective and strength of the report is to establish a consultative and consensus-based process to compile food insecurity analysis from throughout the world into a global public product to inform annual planning and resource allocation decisions. Technical, operational and financial partners require evidence-based information to ensure appropriate planning and resources to tackle the consequences of food security crises within an evolving humanitarian financing landscape. The World Humanitarian Summit has prompted a major rethink of the way response financing is delivered in crisis settings, highlighting the need for more long-term development investments to address risk, prevent crises and build resilience. Since 2013, the European Commission has worked to develop ways to compare and clarify the results of food security analyses across partners and geographical areas to provide a comprehensive overview of the global food security situation. In 2015, the Joint Research Centre of the European Commission (ECJRC) produced an annual report on food insecurity hotspots to inform decisions on food crisis allocation…","author":[{"dropping-particle":"","family":"FSIN","given":"","non-dropping-particle":"","parse-names":false,"suffix":""}],"container-title":"World Food Programme","id":"ITEM-1","issued":{"date-parts":[["2019"]]},"title":"Global Report on Food Crises 2019","type":"report"},"uris":["http://www.mendeley.com/documents/?uuid=f9be4e4f-6093-43c4-9996-c35cc659ab71"]}],"mendeley":{"formattedCitation":"(FSIN, 2019)","plainTextFormattedCitation":"(FSIN, 2019)","previouslyFormattedCitation":"(FSIN, 2019)"},"properties":{"noteIndex":0},"schema":"https://github.com/citation-style-language/schema/raw/master/csl-citation.json"}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(FSIN, 2019)</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w:t>
      </w:r>
    </w:p>
    <w:p w:rsidR="001C72A7" w:rsidRPr="001C72A7" w:rsidRDefault="001C72A7" w:rsidP="001C72A7">
      <w:pPr>
        <w:spacing w:line="360" w:lineRule="auto"/>
        <w:rPr>
          <w:rFonts w:eastAsia="Times New Roman" w:cs="Times New Roman"/>
          <w:b/>
          <w:sz w:val="22"/>
          <w:szCs w:val="22"/>
          <w:lang w:val="en"/>
        </w:rPr>
      </w:pPr>
      <w:r w:rsidRPr="001C72A7">
        <w:rPr>
          <w:rFonts w:eastAsia="Times New Roman" w:cs="Times New Roman"/>
          <w:i/>
          <w:sz w:val="22"/>
          <w:szCs w:val="22"/>
          <w:highlight w:val="white"/>
          <w:lang w:val="en"/>
        </w:rPr>
        <w:t>Natural Disasters and Climate Change.</w:t>
      </w:r>
      <w:r w:rsidRPr="001C72A7">
        <w:rPr>
          <w:rFonts w:eastAsia="Times New Roman" w:cs="Times New Roman"/>
          <w:sz w:val="22"/>
          <w:szCs w:val="22"/>
          <w:highlight w:val="white"/>
          <w:lang w:val="en"/>
        </w:rPr>
        <w:t xml:space="preserve"> Climate change has been linked to intensified disasters such as droughts, floods, and tropical cyclones. In 2018, almost 29 million people were propelled into food insecurity due to climate change induced natural disasters with the most numbers being in Africa, where an estimated 32 million people faced acute food insecurity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{"citationItems":[{"id":"ITEM-1","itemData":{"DOI":"ISSN 1728-9246","ISBN":"9788578110796","ISSN":"1098-6596","PMID":"25246403","abstract":"Currently, the world is faced with an unprecedented call for action at a moment in which four countries have been identified as at risk of famine, and demand for humanitarian and resilience assistance is escalating. Against this background, informing the global and national food security community on the risk of food crises and on the severity of such crises is of fundamental importance. In recent years, stakeholders have made major investments to improve food security analysis and related early warning systems in order to prevent and tackle food crises more efficiently. Although significant improvements have been made over time in the methods and technologies used to improve the quality and timeliness of food security assessments and monitoring systems, a comprehensive global pictures of food crises is still often missing. Partial geographical coverage and a lack of comparable data within a standardised system make it difficult to get a full global picture of food crises at any given time. The European Union, WFP and FAO have joined forces to coordinate the compilation of analyses to increase the impact of humanitarian and resilience responses through the preparation of the “Global report on Food Crises”. The Global Report enhances coordination and decision-making through a neutral analysis that informs program planning and implementation. The key objective and strength of the report is to establish a consultative and consensus-based process to compile food insecurity analysis from throughout the world into a global public product to inform annual planning and resource allocation decisions. Technical, operational and financial partners require evidence-based information to ensure appropriate planning and resources to tackle the consequences of food security crises within an evolving humanitarian financing landscape. The World Humanitarian Summit has prompted a major rethink of the way response financing is delivered in crisis settings, highlighting the need for more long-term development investments to address risk, prevent crises and build resilience. Since 2013, the European Commission has worked to develop ways to compare and clarify the results of food security analyses across partners and geographical areas to provide a comprehensive overview of the global food security situation. In 2015, the Joint Research Centre of the European Commission (ECJRC) produced an annual report on food insecurity hotspots to inform decisions on food crisis allocation…","author":[{"dropping-particle":"","family":"FSIN","given":"","non-dropping-particle":"","parse-names":false,"suffix":""}],"container-title":"World Food Programme","id":"ITEM-1","issued":{"date-parts":[["2019"]]},"title":"Global Report on Food Crises 2019","type":"report"},"uris":["http://www.mendeley.com/documents/?uuid=f9be4e4f-6093-43c4-9996-c35cc659ab71"]}],"mendeley":{"formattedCitation":"(FSIN, 2019)","plainTextFormattedCitation":"(FSIN, 2019)","previouslyFormattedCitation":"(FSIN, 2019)"},"properties":{"noteIndex":0},"schema":"https://github.com/citation-style-language/schema/raw/master/csl-citation.json"}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(FSIN, 2019)</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Women and children are especially susceptible to food insecurity. Furthermore, the 2018 Intergovernmental Panel on Climate Change (IPCC) special report warned of medium to high risk of global warming impact in southern Africa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{"citationItems":[{"id":"ITEM-1","itemData":{"author":[{"dropping-particle":"","family":"IPCC","given":"","non-dropping-particle":"","parse-names":false,"suffix":""}],"container-title":"IPCC Special Report on Climate Change, Desertification, Land Degradation, Sustainable Land Management, Food Security, and Greenhouse gas fluxes in Terrestrial Ecosystems","id":"ITEM-1","issued":{"date-parts":[["2018"]]},"number-of-pages":"1-164","title":"Chapter 5: Food Security","type":"report"},"uris":["http://www.mendeley.com/documents/?uuid=68ac0b95-38ca-494b-93cd-c3ec54d57f5c"]}],"mendeley":{"formattedCitation":"(IPCC, 2018)","plainTextFormattedCitation":"(IPCC, 2018)","previouslyFormattedCitation":"(IPCC, 2018)"},"properties":{"noteIndex":0},"schema":"https://github.com/citation-style-language/schema/raw/master/csl-citation.json"}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(IPCC, 2018)</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The effects of climate change on food security in the region are exacerbated by desertification and rapid depletion of arable land. About 70% of the inhabitants of sub-Saharan Africa continue to rely on land for their basic livelihood, exerting pressures on an already strained land base. Closely related to this is prevalence of droughts and famines as the primary triggers of food crises in sub-Saharan Africa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{"citationItems":[{"id":"ITEM-1","itemData":{"abstract":"Extreme climate events – mainly drought – were also major triggers of food crises in 23 countries with over 39 million food-insecure people in need of urgent assistance in 2017.","author":[{"dropping-particle":"","family":"FSIN","given":"","non-dropping-particle":"","parse-names":false,"suffix":""}],"container-title":"Food Security Information Network","id":"ITEM-1","issued":{"date-parts":[["2018"]]},"page":"202","title":"Global Report on Food Crisis 2018","type":"article-journal"},"uris":["http://www.mendeley.com/documents/?uuid=daab04a1-7b78-45b7-a815-d227b7e94ef1"]}],"mendeley":{"formattedCitation":"(FSIN, 2018)","plainTextFormattedCitation":"(FSIN, 2018)","previouslyFormattedCitation":"(FSIN, 2018)"},"properties":{"noteIndex":0},"schema":"https://github.com/citation-style-language/schema/raw/master/csl-citation.json"}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(FSIN, 2018)</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Furthermore,</w:t>
      </w:r>
      <w:r w:rsidRPr="001C72A7">
        <w:rPr>
          <w:rFonts w:eastAsia="Times New Roman" w:cs="Times New Roman"/>
          <w:sz w:val="22"/>
          <w:szCs w:val="22"/>
          <w:lang w:val="en"/>
        </w:rPr>
        <w:t xml:space="preserve"> floods and other climate related disasters have been linked to the displaceme</w:t>
      </w:r>
      <w:r w:rsidRPr="00215F0B">
        <w:rPr>
          <w:rFonts w:eastAsia="Times New Roman" w:cs="Times New Roman"/>
          <w:sz w:val="22"/>
          <w:szCs w:val="22"/>
          <w:lang w:val="en"/>
        </w:rPr>
        <w:t xml:space="preserve">nt of </w:t>
      </w:r>
      <w:r w:rsidRPr="001C72A7">
        <w:rPr>
          <w:rFonts w:eastAsia="Times New Roman" w:cs="Times New Roman"/>
          <w:sz w:val="22"/>
          <w:szCs w:val="22"/>
          <w:lang w:val="en"/>
        </w:rPr>
        <w:t xml:space="preserve">roughly 230,000 people in Malawi, 50,000 in Mozambique, and 39,000 in Madagascar, exacerbating challenges to livelihood. In the case of north-east Kenya and southern Somalia, persistent dry conditions have been reported </w:t>
      </w:r>
      <w:r w:rsidRPr="001C72A7">
        <w:rPr>
          <w:rFonts w:eastAsia="Times New Roman" w:cs="Times New Roman"/>
          <w:sz w:val="22"/>
          <w:szCs w:val="22"/>
          <w:lang w:val="en"/>
        </w:rPr>
        <w:fldChar w:fldCharType="begin" w:fldLock="1"/>
      </w:r>
      <w:r w:rsidRPr="001C72A7">
        <w:rPr>
          <w:rFonts w:eastAsia="Times New Roman" w:cs="Times New Roman"/>
          <w:sz w:val="22"/>
          <w:szCs w:val="22"/>
          <w:lang w:val="en"/>
        </w:rPr>
        <w:instrText>ADDIN CSL_CITATION {"citationItems":[{"id":"ITEM-1","itemData":{"DOI":"10.1017/S1368980015001913","ISBN":"1368980015001","ISSN":"14752727","abstract":"OBJECTIVE: To investigate the predictors of wasting, stunting and low mid-upper arm circumference among children aged 6-59 months in Somalia using data from household cross-sectional surveys from 2007 to 2010 in order to help inform better targeting of nutritional interventions. DESIGN: Cross-sectional nutritional assessment surveys using structured interviews were conducted among communities in Somalia each year from 2007 to 2010. A two-stage cluster sampling methodology was used to select children aged 6-59 months from households across three livelihood zones (pastoral, agro-pastoral and riverine). Predictors of three anthropometric measures, weight-for-height (wasting), height-for-age (stunting) and mid-upper arm circumference, were analysed using Bayesian binomial regression, controlling for both spatial and temporal dependence in the data. SETTING: The study was conducted in randomly sampled villages, representative of three livelihood zones in Somalia. SUBJECTS: Children between the ages of 6 and 59 months in Somalia. RESULTS: The estimated national prevalence of wasting, stunting and low mid-upper arm circumference in children aged 6-59 months was 21 %, 31 % and 36 %, respectively. Although fever, diarrhoea, sex and age of the child, household size and access to foods were significant predictors of malnutrition, the strongest association was observed between all three indicators of malnutrition and the enhanced vegetation index. A 1-unit increase in enhanced vegetation index was associated with a 38 %, 49 % and 59 % reduction in wasting, stunting and low mid-upper arm circumference, respectively. CONCLUSIONS: Infection and climatic variations are likely to be key drivers of malnutrition in Somalia. Better health data and close monitoring and forecasting of droughts may provide valuable information for nutritional intervention planning in Somalia.","author":[{"dropping-particle":"","family":"Kinyoki","given":"Damaris K.","non-dropping-particle":"","parse-names":false,"suffix":""},{"dropping-particle":"","family":"Berkley","given":"James A.","non-dropping-particle":"","parse-names":false,"suffix":""},{"dropping-particle":"","family":"Moloney","given":"Grainne M.","non-dropping-particle":"","parse-names":false,"suffix":""},{"dropping-particle":"","family":"Kandala","given":"Ngianga Bakwin","non-dropping-particle":"","parse-names":false,"suffix":""},{"dropping-particle":"","family":"Noor","given":"Abdisalan M.","non-dropping-particle":"","parse-names":false,"suffix":""}],"container-title":"Public Health Nutrition","id":"ITEM-1","issue":"17","issued":{"date-parts":[["2015"]]},"page":"3125-3133","title":"Predictors of the risk of malnutrition among children under the age of 5 years in Somalia","type":"article-journal","volume":"18"},"uris":["http://www.mendeley.com/documents/?uuid=4f76f268-1df8-4709-ac41-80da9f2c2d2d"]}],"mendeley":{"formattedCitation":"(Kinyoki &lt;i&gt;et al.&lt;/i&gt;, 2015)","plainTextFormattedCitation":"(Kinyoki et al., 2015)","previouslyFormattedCitation":"(Kinyoki &lt;i&gt;et al.&lt;/i&gt;, 2015)"},"properties":{"noteIndex":0},"schema":"https://github.com/citation-style-language/schema/raw/master/csl-citation.json"}</w:instrText>
      </w:r>
      <w:r w:rsidRPr="001C72A7">
        <w:rPr>
          <w:rFonts w:eastAsia="Times New Roman" w:cs="Times New Roman"/>
          <w:sz w:val="22"/>
          <w:szCs w:val="22"/>
          <w:lang w:val="en"/>
        </w:rPr>
        <w:fldChar w:fldCharType="separate"/>
      </w:r>
      <w:r w:rsidRPr="001C72A7">
        <w:rPr>
          <w:rFonts w:eastAsia="Times New Roman" w:cs="Times New Roman"/>
          <w:noProof/>
          <w:sz w:val="22"/>
          <w:szCs w:val="22"/>
          <w:lang w:val="en"/>
        </w:rPr>
        <w:t xml:space="preserve">(Kinyoki </w:t>
      </w:r>
      <w:r w:rsidRPr="001C72A7">
        <w:rPr>
          <w:rFonts w:eastAsia="Times New Roman" w:cs="Times New Roman"/>
          <w:i/>
          <w:noProof/>
          <w:sz w:val="22"/>
          <w:szCs w:val="22"/>
          <w:lang w:val="en"/>
        </w:rPr>
        <w:t>et al.</w:t>
      </w:r>
      <w:r w:rsidRPr="001C72A7">
        <w:rPr>
          <w:rFonts w:eastAsia="Times New Roman" w:cs="Times New Roman"/>
          <w:noProof/>
          <w:sz w:val="22"/>
          <w:szCs w:val="22"/>
          <w:lang w:val="en"/>
        </w:rPr>
        <w:t>, 2015)</w:t>
      </w:r>
      <w:r w:rsidRPr="001C72A7">
        <w:rPr>
          <w:rFonts w:eastAsia="Times New Roman" w:cs="Times New Roman"/>
          <w:sz w:val="22"/>
          <w:szCs w:val="22"/>
          <w:lang w:val="en"/>
        </w:rPr>
        <w:fldChar w:fldCharType="end"/>
      </w:r>
      <w:r w:rsidRPr="001C72A7">
        <w:rPr>
          <w:rFonts w:eastAsia="Times New Roman" w:cs="Times New Roman"/>
          <w:sz w:val="22"/>
          <w:szCs w:val="22"/>
          <w:lang w:val="en"/>
        </w:rPr>
        <w:t xml:space="preserve"> potentially affecting pastoralist resources. </w:t>
      </w:r>
    </w:p>
    <w:p w:rsidR="001C72A7" w:rsidRPr="001C72A7" w:rsidRDefault="001C72A7" w:rsidP="001C72A7">
      <w:pPr>
        <w:spacing w:line="360" w:lineRule="auto"/>
        <w:rPr>
          <w:rFonts w:eastAsia="Times New Roman" w:cs="Times New Roman"/>
          <w:b/>
          <w:sz w:val="22"/>
          <w:szCs w:val="22"/>
          <w:lang w:val="en"/>
        </w:rPr>
      </w:pPr>
      <w:r w:rsidRPr="001C72A7">
        <w:rPr>
          <w:rFonts w:eastAsia="Times New Roman" w:cs="Times New Roman"/>
          <w:i/>
          <w:sz w:val="22"/>
          <w:szCs w:val="22"/>
          <w:lang w:val="en"/>
        </w:rPr>
        <w:t xml:space="preserve"> Absence of Comprehensive Agricultural/Food and Distribution Policies.</w:t>
      </w:r>
      <w:r w:rsidRPr="001C72A7">
        <w:rPr>
          <w:rFonts w:eastAsia="Times New Roman" w:cs="Times New Roman"/>
          <w:sz w:val="22"/>
          <w:szCs w:val="22"/>
          <w:lang w:val="en"/>
        </w:rPr>
        <w:t xml:space="preserve"> </w:t>
      </w:r>
    </w:p>
    <w:p w:rsidR="001C72A7" w:rsidRPr="001C72A7" w:rsidRDefault="001C72A7" w:rsidP="001C72A7">
      <w:pPr>
        <w:spacing w:line="360" w:lineRule="auto"/>
        <w:rPr>
          <w:rFonts w:eastAsia="Times New Roman" w:cs="Times New Roman"/>
          <w:sz w:val="22"/>
          <w:szCs w:val="22"/>
          <w:lang w:val="en"/>
        </w:rPr>
      </w:pPr>
      <w:r w:rsidRPr="001C72A7">
        <w:rPr>
          <w:rFonts w:eastAsia="Times New Roman" w:cs="Times New Roman"/>
          <w:sz w:val="22"/>
          <w:szCs w:val="22"/>
          <w:lang w:val="en"/>
        </w:rPr>
        <w:t xml:space="preserve">Many government-funded programs have been put in place to mitigate food insecurity and poverty in sub-Saharan Africa. Among these are Social Cash Transfer Programs (SCTP) that have been widely adopted to reduce food insecurity through increasing and maintaining purchasing power of food and agricultural products especially by vulnerable households with children </w:t>
      </w:r>
      <w:r w:rsidRPr="001C72A7">
        <w:rPr>
          <w:rFonts w:eastAsia="Times New Roman" w:cs="Times New Roman"/>
          <w:sz w:val="22"/>
          <w:szCs w:val="22"/>
          <w:lang w:val="en"/>
        </w:rPr>
        <w:fldChar w:fldCharType="begin" w:fldLock="1"/>
      </w:r>
      <w:r w:rsidRPr="001C72A7">
        <w:rPr>
          <w:rFonts w:eastAsia="Times New Roman" w:cs="Times New Roman"/>
          <w:sz w:val="22"/>
          <w:szCs w:val="22"/>
          <w:lang w:val="en"/>
        </w:rPr>
        <w:instrText>ADDIN CSL_CITATION {"citationItems":[{"id":"ITEM-1","itemData":{"ISBN":"3333333333","author":[{"dropping-particle":"","family":"CPAN","given":"","non-dropping-particle":"","parse-names":false,"suffix":""}],"id":"ITEM-1","issued":{"date-parts":[["2012"]]},"publisher-place":"London","title":"Agriculture Policy Guide, Meeting the challenge of a new pro-poor agricultural paradigm: The role of agricultural policies and programmes","type":"report"},"uris":["http://www.mendeley.com/documents/?uuid=9662a302-4d6e-48d7-bbb4-18f4eb60d4e9"]}],"mendeley":{"formattedCitation":"(CPAN, 2012)","plainTextFormattedCitation":"(CPAN, 2012)","previouslyFormattedCitation":"(CPAN, 2012)"},"properties":{"noteIndex":0},"schema":"https://github.com/citation-style-language/schema/raw/master/csl-citation.json"}</w:instrText>
      </w:r>
      <w:r w:rsidRPr="001C72A7">
        <w:rPr>
          <w:rFonts w:eastAsia="Times New Roman" w:cs="Times New Roman"/>
          <w:sz w:val="22"/>
          <w:szCs w:val="22"/>
          <w:lang w:val="en"/>
        </w:rPr>
        <w:fldChar w:fldCharType="separate"/>
      </w:r>
      <w:r w:rsidRPr="001C72A7">
        <w:rPr>
          <w:rFonts w:eastAsia="Times New Roman" w:cs="Times New Roman"/>
          <w:noProof/>
          <w:sz w:val="22"/>
          <w:szCs w:val="22"/>
          <w:lang w:val="en"/>
        </w:rPr>
        <w:t>(CPAN, 2012)</w:t>
      </w:r>
      <w:r w:rsidRPr="001C72A7">
        <w:rPr>
          <w:rFonts w:eastAsia="Times New Roman" w:cs="Times New Roman"/>
          <w:sz w:val="22"/>
          <w:szCs w:val="22"/>
          <w:lang w:val="en"/>
        </w:rPr>
        <w:fldChar w:fldCharType="end"/>
      </w:r>
      <w:r w:rsidRPr="001C72A7">
        <w:rPr>
          <w:rFonts w:eastAsia="Times New Roman" w:cs="Times New Roman"/>
          <w:sz w:val="22"/>
          <w:szCs w:val="22"/>
          <w:lang w:val="en"/>
        </w:rPr>
        <w:t xml:space="preserve">. Another example of an effective policy targeting food security is the Homestead Food Garden Program initiative introduced in 1997 in Nigeria. This initiative targets provision of training and resources for agriculture and nutrition among low-income women </w:t>
      </w:r>
      <w:r w:rsidRPr="001C72A7">
        <w:rPr>
          <w:rFonts w:eastAsia="Times New Roman" w:cs="Times New Roman"/>
          <w:sz w:val="22"/>
          <w:szCs w:val="22"/>
          <w:lang w:val="en"/>
        </w:rPr>
        <w:fldChar w:fldCharType="begin" w:fldLock="1"/>
      </w:r>
      <w:r w:rsidRPr="001C72A7">
        <w:rPr>
          <w:rFonts w:eastAsia="Times New Roman" w:cs="Times New Roman"/>
          <w:sz w:val="22"/>
          <w:szCs w:val="22"/>
          <w:lang w:val="en"/>
        </w:rPr>
        <w:instrText>ADDIN CSL_CITATION {"citationItems":[{"id":"ITEM-1","itemData":{"ISSN":"1867-8521","abstract":"Introduction: The African Union and United Nations agencies requested that children under five years and pregnant women be exempt from healthcare payment at the point of service. Indeed, this payment method is a financial barrier to healthcare access that the most vulnerable populations cannot overcome. Since Burkina Faso had not yet implemented such a policy, an experiment was undertaken starting in 2008 in two districts of the Sahel region in order to produce evidence.Methods: A research programme was organised in order to evaluate the effectiveness, equity, processes, costs and social effects of this experiment. Twelve studies were undertaken that used a concurrent mixed method design with data collected from individuals, households, health centres and villages. Results: The experiment was integrated into the health system and was fully appreciated by all. The third-party payer system was effective. Pregnant women and children under the age of five years had faster and broader access to the health system. The poorest among them substantially benefited from the intervention. The quality of care was sustained and costs were controlled.Conclusion: Since equity is a priority for the government and its financial partners, the research results suggest that exemption should be extended to the national level and that measures should be organised to break down the geographic barrier.Introduction : L?Union Africaine et les agences des Nations Unies réclament que les enfants de moins de cinq ans et les femmes enceintes soient exemptés du paiement des soins au point de service. En effet, cette modalité de paiement impose une barrière financière à l?accès aux soins que les plus vulnérables ne peuvent surmonter. Puisque le Burkina Faso ne s?est pas encore engagé dans une telle politique, une expérimentation a été mise en ?uvre depuis 2008 dans deux districts du Sahel afin de produire des preuves sur cette stratégie.Méthodes : Un programme de recherches a été organisé afin d?évaluer l?efficacité, l?équité, les processus, les coûts et les effets sociaux de cette expérimentation. Douze études ont été entreprises en ayant recours à un devis mixte concomitant usant de données collectées auprès des individus, des ménages, des centres de santé et des villages. Résultats : L?expérimentation s?est intégrée au système de santé et a été bien appréciée par tous. Le système de tiers-payeur a été efficace. Les femmes enceintes et les enfants de moins de cinq ont eu recours plus…","author":[{"dropping-particle":"","family":"Talukder","given":"A.","non-dropping-particle":"","parse-names":false,"suffix":""},{"dropping-particle":"","family":"Haselow","given":"N.","non-dropping-particle":"","parse-names":false,"suffix":""},{"dropping-particle":"","family":"Osei","given":"A.","non-dropping-particle":"","parse-names":false,"suffix":""},{"dropping-particle":"","family":"Villate","given":"E.","non-dropping-particle":"","parse-names":false,"suffix":""},{"dropping-particle":"","family":"Reario","given":"D.","non-dropping-particle":"","parse-names":false,"suffix":""},{"dropping-particle":"","family":"Kroeun","given":"H.","non-dropping-particle":"","parse-names":false,"suffix":""},{"dropping-particle":"","family":"SokHoing","given":"L.","non-dropping-particle":"","parse-names":false,"suffix":""},{"dropping-particle":"","family":"Uddin","given":"A.","non-dropping-particle":"","parse-names":false,"suffix":""},{"dropping-particle":"","family":"Dhunge","given":"S.","non-dropping-particle":"","parse-names":false,"suffix":""},{"dropping-particle":"","family":"Quinn","given":"V.","non-dropping-particle":"","parse-names":false,"suffix":""}],"container-title":"Field Actions Science Reports. The journal of field actions","id":"ITEM-1","issue":"Special Issue 1","issued":{"date-parts":[["2010"]]},"page":"0-9","title":"Homestead food production model contributes to improved household food security and nutrition status of young children and women in poor populations. lessons learned from scaling-up programs in Asia (Bangladesh, Cambodia, Nepal and Philippines)","type":"article-journal"},"uris":["http://www.mendeley.com/documents/?uuid=edc8f574-c4e1-4aaf-b529-e637f3966b61"]},{"id":"ITEM-2","itemData":{"DOI":"10.1080/09614524.2018.1512952","ISSN":"0961-4524","author":[{"dropping-particle":"","family":"Bahta","given":"Yonas T","non-dropping-particle":"","parse-names":false,"suffix":""},{"dropping-particle":"","family":"Owusu-Sekyere","given":"Enoch","non-dropping-particle":"","parse-names":false,"suffix":""},{"dropping-particle":"","family":"Tlalang","given":"Boipelo","non-dropping-particle":"","parse-names":false,"suffix":""}],"container-title":"Development in Practice","id":"ITEM-2","issue":"1","issued":{"date-parts":[["2019","1","2"]]},"note":"doi: 10.1080/09614524.2018.1512952","page":"3-14","publisher":"Routledge","title":"Does women’s empowerment through policy intervention reduce food insecurity in South Africa?","type":"article-journal","volume":"29"},"uris":["http://www.mendeley.com/documents/?uuid=6f761c5b-8106-4272-884e-abe92e98b499"]}],"mendeley":{"formattedCitation":"(Talukder &lt;i&gt;et al.&lt;/i&gt;, 2010; Bahta, Owusu-Sekyere and Tlalang, 2019)","plainTextFormattedCitation":"(Talukder et al., 2010; Bahta, Owusu-Sekyere and Tlalang, 2019)","previouslyFormattedCitation":"(Talukder &lt;i&gt;et al.&lt;/i&gt;, 2010; Bahta, Owusu-Sekyere and Tlalang, 2019)"},"properties":{"noteIndex":0},"schema":"https://github.com/citation-style-language/schema/raw/master/csl-citation.json"}</w:instrText>
      </w:r>
      <w:r w:rsidRPr="001C72A7">
        <w:rPr>
          <w:rFonts w:eastAsia="Times New Roman" w:cs="Times New Roman"/>
          <w:sz w:val="22"/>
          <w:szCs w:val="22"/>
          <w:lang w:val="en"/>
        </w:rPr>
        <w:fldChar w:fldCharType="separate"/>
      </w:r>
      <w:r w:rsidRPr="001C72A7">
        <w:rPr>
          <w:rFonts w:eastAsia="Times New Roman" w:cs="Times New Roman"/>
          <w:noProof/>
          <w:sz w:val="22"/>
          <w:szCs w:val="22"/>
          <w:lang w:val="en"/>
        </w:rPr>
        <w:t xml:space="preserve">(Talukder </w:t>
      </w:r>
      <w:r w:rsidRPr="001C72A7">
        <w:rPr>
          <w:rFonts w:eastAsia="Times New Roman" w:cs="Times New Roman"/>
          <w:i/>
          <w:noProof/>
          <w:sz w:val="22"/>
          <w:szCs w:val="22"/>
          <w:lang w:val="en"/>
        </w:rPr>
        <w:t>et al.</w:t>
      </w:r>
      <w:r w:rsidRPr="001C72A7">
        <w:rPr>
          <w:rFonts w:eastAsia="Times New Roman" w:cs="Times New Roman"/>
          <w:noProof/>
          <w:sz w:val="22"/>
          <w:szCs w:val="22"/>
          <w:lang w:val="en"/>
        </w:rPr>
        <w:t>, 2010; Bahta, Owusu-Sekyere and Tlalang, 2019)</w:t>
      </w:r>
      <w:r w:rsidRPr="001C72A7">
        <w:rPr>
          <w:rFonts w:eastAsia="Times New Roman" w:cs="Times New Roman"/>
          <w:sz w:val="22"/>
          <w:szCs w:val="22"/>
          <w:lang w:val="en"/>
        </w:rPr>
        <w:fldChar w:fldCharType="end"/>
      </w:r>
      <w:r w:rsidRPr="001C72A7">
        <w:rPr>
          <w:rFonts w:eastAsia="Times New Roman" w:cs="Times New Roman"/>
          <w:sz w:val="22"/>
          <w:szCs w:val="22"/>
          <w:lang w:val="en"/>
        </w:rPr>
        <w:t xml:space="preserve">. The government of Malawi has also implemented policies to improve food security and nutrition through dissemination of improved cook-stoves. While these policies have resulted in increased food security,  and a reduction in respiratory illnesses and greenhouse gas emissions </w:t>
      </w:r>
      <w:r w:rsidRPr="001C72A7">
        <w:rPr>
          <w:rFonts w:eastAsia="Times New Roman" w:cs="Times New Roman"/>
          <w:sz w:val="22"/>
          <w:szCs w:val="22"/>
          <w:lang w:val="en"/>
        </w:rPr>
        <w:fldChar w:fldCharType="begin" w:fldLock="1"/>
      </w:r>
      <w:r w:rsidRPr="001C72A7">
        <w:rPr>
          <w:rFonts w:eastAsia="Times New Roman" w:cs="Times New Roman"/>
          <w:sz w:val="22"/>
          <w:szCs w:val="22"/>
          <w:lang w:val="en"/>
        </w:rPr>
        <w:instrText>ADDIN CSL_CITATION {"citationItems":[{"id":"ITEM-1","itemData":{"DOI":"10.1289/ehp.1104194","ISSN":"00916765","abstract":"Background: The global focus on improved cookstoves (ICSs) and clean fuels has increased because of their potential for delivering triple dividends: household health, local environmental quality, and regional climate benefits. However, ICS and clean fuel dissemination programs have met with low rates of adoption. Objectives: We reviewed empirical studies on ICSs and fuel choice to describe the literature, examine determinants of fuel and stove choice, and identify knowledge gaps. Methods: We conducted a systematic review of the literature on the adoption of ICSs or cleaner fuels by households in developing countries. Results are synthesized through a simple vote-counting meta-analysis. Results: We identified 32 research studies that reported 146 separate regression analyses of ICS adoption (11 analyses) or fuel choice (135 analyses) from Asia (60%), Africa (27%), and Latin America (19%). Most studies apply multivariate regression methods to consider 7-13 determinants of choice. Income, education, and urban location were positively associated with adoption in most but not all studies. However, the influence of fuel availability and prices, household size and composition, and sex is unclear. Potentially important drivers such as credit, supply-chain strengthening, and social marketing have been ignored. Conclusions: Adoption studies of ICSs or clean energy are scarce, scattered, and of differential quality, even though global distribution programs are quickly expanding. Future research should examine an expanded set of contextual variables to improve implementation of stove programs that can realize the \"win-win-win\" of health, local environmental quality, and climate associated with these technologies.","author":[{"dropping-particle":"","family":"Lewis","given":"Jessica J.","non-dropping-particle":"","parse-names":false,"suffix":""},{"dropping-particle":"","family":"Pattanayak","given":"Subhrendu K.","non-dropping-particle":"","parse-names":false,"suffix":""}],"container-title":"Environmental Health Perspectives","id":"ITEM-1","issue":"5","issued":{"date-parts":[["2012"]]},"page":"637-645","title":"Who adopts improved fuels and cookstoves? A systematic review","type":"article-journal","volume":"120"},"uris":["http://www.mendeley.com/documents/?uuid=5a8e57f1-9792-4f9d-874c-2dbb0a5fbda7"]}],"mendeley":{"formattedCitation":"(Lewis and Pattanayak, 2012)","plainTextFormattedCitation":"(Lewis and Pattanayak, 2012)","previouslyFormattedCitation":"(Lewis and Pattanayak, 2012)"},"properties":{"noteIndex":0},"schema":"https://github.com/citation-style-language/schema/raw/master/csl-citation.json"}</w:instrText>
      </w:r>
      <w:r w:rsidRPr="001C72A7">
        <w:rPr>
          <w:rFonts w:eastAsia="Times New Roman" w:cs="Times New Roman"/>
          <w:sz w:val="22"/>
          <w:szCs w:val="22"/>
          <w:lang w:val="en"/>
        </w:rPr>
        <w:fldChar w:fldCharType="separate"/>
      </w:r>
      <w:r w:rsidRPr="001C72A7">
        <w:rPr>
          <w:rFonts w:eastAsia="Times New Roman" w:cs="Times New Roman"/>
          <w:noProof/>
          <w:sz w:val="22"/>
          <w:szCs w:val="22"/>
          <w:lang w:val="en"/>
        </w:rPr>
        <w:t>(Lewis and Pattanayak, 2012)</w:t>
      </w:r>
      <w:r w:rsidRPr="001C72A7">
        <w:rPr>
          <w:rFonts w:eastAsia="Times New Roman" w:cs="Times New Roman"/>
          <w:sz w:val="22"/>
          <w:szCs w:val="22"/>
          <w:lang w:val="en"/>
        </w:rPr>
        <w:fldChar w:fldCharType="end"/>
      </w:r>
      <w:r w:rsidRPr="001C72A7">
        <w:rPr>
          <w:rFonts w:eastAsia="Times New Roman" w:cs="Times New Roman"/>
          <w:sz w:val="22"/>
          <w:szCs w:val="22"/>
          <w:lang w:val="en"/>
        </w:rPr>
        <w:t xml:space="preserve">, food insecurity continues to grow, suggesting the need for more cross cutting interventions </w:t>
      </w:r>
      <w:r w:rsidRPr="001C72A7">
        <w:rPr>
          <w:rFonts w:eastAsia="Times New Roman" w:cs="Times New Roman"/>
          <w:sz w:val="22"/>
          <w:szCs w:val="22"/>
          <w:lang w:val="en"/>
        </w:rPr>
        <w:fldChar w:fldCharType="begin" w:fldLock="1"/>
      </w:r>
      <w:r w:rsidRPr="001C72A7">
        <w:rPr>
          <w:rFonts w:eastAsia="Times New Roman" w:cs="Times New Roman"/>
          <w:sz w:val="22"/>
          <w:szCs w:val="22"/>
          <w:lang w:val="en"/>
        </w:rPr>
        <w:instrText>ADDIN CSL_CITATION {"citationItems":[{"id":"ITEM-1","itemData":{"DOI":"10.1016/j.worlddev.2017.10.011","ISSN":"18735991","abstract":"Biomass energy still dominates the energy sector in Sub-Saharan Africa, in particular as the main cooking energy source in rural and urban areas. The strong linkages to food security and the environment place biomass energy at the heart of sustainable development, a fact that is largely ignored by policy makers in favor of modern energy. At the same time, population and GDP growth are exacerbating already existing supply–demand imbalances in highly populated countries such as Malawi. These trends make it imperative to identify policy interventions that promote sustainable biomass energy while simultaneously considering linkages with other sectors. We use new data on demand and supply for biomass energy in Malawi and develop a model that estimates fuelwood demand based on actual diets and project demand in future years. We simulate how demand side interventions in the form of improved cookstoves affect biomass demand and built a behavioral model to analyze the potential of agroforestry for promoting a sustainable biomass energy sector in Malawi. Our findings show that policy measures aimed at increasing cooking efficiency are not enough to decrease demand for cooking energy due to high population growth. Supply side interventions like agroforestry on the other hand will not only increase sustainable supply, but can also enhance food security and protect the environment. We find that biomass energy can be inherently sustainable and should be an integral part of every energy sector strategy in developing countries as well as of the Sustainable Development Goals.","author":[{"dropping-particle":"","family":"Schuenemann","given":"Franziska","non-dropping-particle":"","parse-names":false,"suffix":""},{"dropping-particle":"","family":"Msangi","given":"Siwa","non-dropping-particle":"","parse-names":false,"suffix":""},{"dropping-particle":"","family":"Zeller","given":"Manfred","non-dropping-particle":"","parse-names":false,"suffix":""}],"container-title":"World Development","id":"ITEM-1","issued":{"date-parts":[["2018"]]},"page":"14-26","publisher":"Elsevier Ltd","title":"Policies for a Sustainable Biomass Energy Sector in Malawi: Enhancing Energy and Food Security Simultaneously","type":"article-journal","volume":"103"},"uris":["http://www.mendeley.com/documents/?uuid=1a56dec1-982e-427c-84fd-7f07fb3194e8"]}],"mendeley":{"formattedCitation":"(Schuenemann, Msangi and Zeller, 2018)","plainTextFormattedCitation":"(Schuenemann, Msangi and Zeller, 2018)","previouslyFormattedCitation":"(Schuenemann, Msangi and Zeller, 2018)"},"properties":{"noteIndex":0},"schema":"https://github.com/citation-style-language/schema/raw/master/csl-citation.json"}</w:instrText>
      </w:r>
      <w:r w:rsidRPr="001C72A7">
        <w:rPr>
          <w:rFonts w:eastAsia="Times New Roman" w:cs="Times New Roman"/>
          <w:sz w:val="22"/>
          <w:szCs w:val="22"/>
          <w:lang w:val="en"/>
        </w:rPr>
        <w:fldChar w:fldCharType="separate"/>
      </w:r>
      <w:r w:rsidRPr="001C72A7">
        <w:rPr>
          <w:rFonts w:eastAsia="Times New Roman" w:cs="Times New Roman"/>
          <w:noProof/>
          <w:sz w:val="22"/>
          <w:szCs w:val="22"/>
          <w:lang w:val="en"/>
        </w:rPr>
        <w:t>(Schuenemann, Msangi and Zeller, 2018)</w:t>
      </w:r>
      <w:r w:rsidRPr="001C72A7">
        <w:rPr>
          <w:rFonts w:eastAsia="Times New Roman" w:cs="Times New Roman"/>
          <w:sz w:val="22"/>
          <w:szCs w:val="22"/>
          <w:lang w:val="en"/>
        </w:rPr>
        <w:fldChar w:fldCharType="end"/>
      </w:r>
      <w:r w:rsidRPr="001C72A7">
        <w:rPr>
          <w:rFonts w:eastAsia="Times New Roman" w:cs="Times New Roman"/>
          <w:sz w:val="22"/>
          <w:szCs w:val="22"/>
          <w:lang w:val="en"/>
        </w:rPr>
        <w:t xml:space="preserve">. Despite the observed progress, to date, policies to spur agricultural productivity, curb hunger and promote health in vulnerable households with children remain underutilized; calling attention to the need for a more comprehensive policy framework with greater potential to mitigate the negative impacts of natural disasters and economic crises. </w:t>
      </w:r>
    </w:p>
    <w:p w:rsidR="001C72A7" w:rsidRPr="001C72A7" w:rsidRDefault="009A52A5" w:rsidP="001C72A7">
      <w:pPr>
        <w:spacing w:line="360" w:lineRule="auto"/>
        <w:ind w:firstLine="720"/>
        <w:jc w:val="center"/>
        <w:rPr>
          <w:rFonts w:eastAsia="Times New Roman" w:cs="Times New Roman"/>
          <w:sz w:val="22"/>
          <w:szCs w:val="22"/>
          <w:lang w:val="en"/>
        </w:rPr>
      </w:pPr>
      <w:r w:rsidRPr="001C72A7">
        <w:rPr>
          <w:rFonts w:eastAsia="Times New Roman" w:cs="Times New Roman"/>
          <w:noProof/>
          <w:sz w:val="22"/>
          <w:szCs w:val="22"/>
          <w:lang w:val="es-ES" w:eastAsia="es-ES"/>
        </w:rPr>
        <w:drawing>
          <wp:anchor distT="0" distB="0" distL="114300" distR="114300" simplePos="0" relativeHeight="251658240" behindDoc="1" locked="0" layoutInCell="1" allowOverlap="1" wp14:anchorId="0F80AEBA" wp14:editId="56BBDA21">
            <wp:simplePos x="0" y="0"/>
            <wp:positionH relativeFrom="column">
              <wp:posOffset>-9525</wp:posOffset>
            </wp:positionH>
            <wp:positionV relativeFrom="paragraph">
              <wp:posOffset>240665</wp:posOffset>
            </wp:positionV>
            <wp:extent cx="2753360" cy="2257425"/>
            <wp:effectExtent l="19050" t="19050" r="27940" b="28575"/>
            <wp:wrapTight wrapText="bothSides">
              <wp:wrapPolygon edited="0">
                <wp:start x="-149" y="-182"/>
                <wp:lineTo x="-149" y="21691"/>
                <wp:lineTo x="21670" y="21691"/>
                <wp:lineTo x="21670" y="-182"/>
                <wp:lineTo x="-149" y="-182"/>
              </wp:wrapPolygon>
            </wp:wrapTight>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753360" cy="2257425"/>
                    </a:xfrm>
                    <a:prstGeom prst="rect">
                      <a:avLst/>
                    </a:prstGeom>
                    <a:ln w="12700">
                      <a:solidFill>
                        <a:sysClr val="windowText" lastClr="000000">
                          <a:lumMod val="65000"/>
                          <a:lumOff val="35000"/>
                        </a:sysClr>
                      </a:solidFill>
                      <a:prstDash val="solid"/>
                    </a:ln>
                  </pic:spPr>
                </pic:pic>
              </a:graphicData>
            </a:graphic>
          </wp:anchor>
        </w:drawing>
      </w:r>
    </w:p>
    <w:p w:rsidR="001C72A7" w:rsidRPr="001C72A7" w:rsidRDefault="001C72A7" w:rsidP="001C72A7">
      <w:pPr>
        <w:spacing w:line="360" w:lineRule="auto"/>
        <w:ind w:firstLine="720"/>
        <w:jc w:val="center"/>
        <w:rPr>
          <w:rFonts w:eastAsia="Times New Roman" w:cs="Times New Roman"/>
          <w:b/>
          <w:sz w:val="22"/>
          <w:szCs w:val="22"/>
          <w:lang w:val="en"/>
        </w:rPr>
      </w:pPr>
    </w:p>
    <w:p w:rsidR="001C72A7" w:rsidRPr="001C72A7" w:rsidRDefault="001C72A7" w:rsidP="001C72A7">
      <w:pPr>
        <w:spacing w:line="360" w:lineRule="auto"/>
        <w:ind w:firstLine="720"/>
        <w:rPr>
          <w:rFonts w:eastAsia="Times New Roman" w:cs="Times New Roman"/>
          <w:sz w:val="22"/>
          <w:szCs w:val="22"/>
          <w:lang w:val="en"/>
        </w:rPr>
      </w:pPr>
    </w:p>
    <w:p w:rsidR="001C72A7" w:rsidRPr="001C72A7" w:rsidRDefault="001C72A7" w:rsidP="001C72A7">
      <w:pPr>
        <w:spacing w:line="360" w:lineRule="auto"/>
        <w:ind w:firstLine="720"/>
        <w:rPr>
          <w:rFonts w:eastAsia="Times New Roman" w:cs="Times New Roman"/>
          <w:b/>
          <w:bCs/>
          <w:sz w:val="22"/>
          <w:szCs w:val="22"/>
          <w:lang w:val="en"/>
        </w:rPr>
      </w:pPr>
      <w:r w:rsidRPr="00215F0B">
        <w:rPr>
          <w:rFonts w:eastAsia="Times New Roman" w:cs="Times New Roman"/>
          <w:b/>
          <w:bCs/>
          <w:sz w:val="22"/>
          <w:szCs w:val="22"/>
          <w:lang w:val="en"/>
        </w:rPr>
        <w:t xml:space="preserve">  </w:t>
      </w:r>
      <w:r w:rsidRPr="001C72A7">
        <w:rPr>
          <w:rFonts w:eastAsia="Times New Roman" w:cs="Times New Roman"/>
          <w:b/>
          <w:bCs/>
          <w:sz w:val="22"/>
          <w:szCs w:val="22"/>
          <w:lang w:val="en"/>
        </w:rPr>
        <w:t xml:space="preserve">Figure 2. Pathways to food </w:t>
      </w:r>
      <w:r w:rsidRPr="00215F0B">
        <w:rPr>
          <w:rFonts w:eastAsia="Times New Roman" w:cs="Times New Roman"/>
          <w:b/>
          <w:bCs/>
          <w:sz w:val="22"/>
          <w:szCs w:val="22"/>
          <w:lang w:val="en"/>
        </w:rPr>
        <w:t>i</w:t>
      </w:r>
      <w:r w:rsidRPr="001C72A7">
        <w:rPr>
          <w:rFonts w:eastAsia="Times New Roman" w:cs="Times New Roman"/>
          <w:b/>
          <w:bCs/>
          <w:sz w:val="22"/>
          <w:szCs w:val="22"/>
          <w:lang w:val="en"/>
        </w:rPr>
        <w:t xml:space="preserve">nsecurity </w:t>
      </w:r>
    </w:p>
    <w:p w:rsidR="001C72A7" w:rsidRPr="001C72A7" w:rsidRDefault="001C72A7" w:rsidP="001C72A7">
      <w:pPr>
        <w:spacing w:line="360" w:lineRule="auto"/>
        <w:jc w:val="center"/>
        <w:rPr>
          <w:rFonts w:eastAsia="Times New Roman" w:cs="Times New Roman"/>
          <w:sz w:val="22"/>
          <w:szCs w:val="22"/>
          <w:lang w:val="en"/>
        </w:rPr>
      </w:pPr>
    </w:p>
    <w:p w:rsidR="001C72A7" w:rsidRPr="001C72A7" w:rsidRDefault="001C72A7" w:rsidP="001C72A7">
      <w:pPr>
        <w:spacing w:line="360" w:lineRule="auto"/>
        <w:rPr>
          <w:rFonts w:eastAsia="Times New Roman" w:cs="Times New Roman"/>
          <w:b/>
          <w:sz w:val="22"/>
          <w:szCs w:val="22"/>
          <w:lang w:val="en"/>
        </w:rPr>
      </w:pPr>
      <w:r w:rsidRPr="001C72A7">
        <w:rPr>
          <w:rFonts w:eastAsia="Times New Roman" w:cs="Times New Roman"/>
          <w:b/>
          <w:sz w:val="22"/>
          <w:szCs w:val="22"/>
          <w:lang w:val="en"/>
        </w:rPr>
        <w:t>Methods</w:t>
      </w:r>
    </w:p>
    <w:p w:rsidR="001C72A7" w:rsidRPr="001C72A7" w:rsidRDefault="001C72A7" w:rsidP="001C72A7">
      <w:pPr>
        <w:pBdr>
          <w:bottom w:val="none" w:sz="0" w:space="1" w:color="000000"/>
        </w:pBdr>
        <w:spacing w:before="160" w:line="360" w:lineRule="auto"/>
        <w:ind w:right="160"/>
        <w:rPr>
          <w:rFonts w:eastAsia="Times New Roman" w:cs="Times New Roman"/>
          <w:sz w:val="22"/>
          <w:szCs w:val="22"/>
          <w:highlight w:val="white"/>
          <w:lang w:val="en"/>
        </w:rPr>
      </w:pPr>
      <w:r w:rsidRPr="001C72A7">
        <w:rPr>
          <w:rFonts w:eastAsia="Times New Roman" w:cs="Times New Roman"/>
          <w:sz w:val="22"/>
          <w:szCs w:val="22"/>
          <w:highlight w:val="white"/>
          <w:lang w:val="en"/>
        </w:rPr>
        <w:t>This exploratory study set out to benchmark progress on SDG #2 (Zero Hunger) with respect to four of the nine indicators under SDG2: (i) 2.1.1 Prevalence of undernourishment, (ii) 2.1.2 Prevalence of food insecurity, (iii) 2.2.1 Prevalence of stunting and (iv) 2.2.2 Prevalence of malnutrition. In particular, we</w:t>
      </w:r>
      <w:r w:rsidRPr="001C72A7">
        <w:rPr>
          <w:rFonts w:eastAsia="Times New Roman" w:cs="Times New Roman"/>
          <w:sz w:val="22"/>
          <w:szCs w:val="22"/>
          <w:lang w:val="en"/>
        </w:rPr>
        <w:t xml:space="preserve"> highlight the extent of food insecurity in SSA, and benchmark performance on undernourishment, child malnutrition (wasting and overweight) and stunting</w:t>
      </w:r>
      <w:r w:rsidRPr="001C72A7">
        <w:rPr>
          <w:rFonts w:eastAsia="Times New Roman" w:cs="Times New Roman"/>
          <w:sz w:val="22"/>
          <w:szCs w:val="22"/>
          <w:highlight w:val="white"/>
          <w:lang w:val="en"/>
        </w:rPr>
        <w:t xml:space="preserve">. </w:t>
      </w:r>
    </w:p>
    <w:p w:rsidR="001C72A7" w:rsidRPr="001C72A7" w:rsidRDefault="001C72A7" w:rsidP="001C72A7">
      <w:pPr>
        <w:spacing w:line="360" w:lineRule="auto"/>
        <w:rPr>
          <w:rFonts w:eastAsia="Times New Roman" w:cs="Times New Roman"/>
          <w:i/>
          <w:sz w:val="22"/>
          <w:szCs w:val="22"/>
          <w:highlight w:val="white"/>
          <w:lang w:val="en"/>
        </w:rPr>
      </w:pPr>
      <w:r w:rsidRPr="001C72A7">
        <w:rPr>
          <w:rFonts w:eastAsia="Times New Roman" w:cs="Times New Roman"/>
          <w:i/>
          <w:sz w:val="22"/>
          <w:szCs w:val="22"/>
          <w:highlight w:val="white"/>
          <w:lang w:val="en"/>
        </w:rPr>
        <w:t>Key Measures</w:t>
      </w:r>
    </w:p>
    <w:p w:rsidR="001C72A7" w:rsidRPr="001C72A7" w:rsidRDefault="001C72A7" w:rsidP="001C72A7">
      <w:pPr>
        <w:spacing w:line="360" w:lineRule="auto"/>
        <w:rPr>
          <w:rFonts w:eastAsia="Times New Roman" w:cs="Times New Roman"/>
          <w:sz w:val="22"/>
          <w:szCs w:val="22"/>
          <w:lang w:val="en"/>
        </w:rPr>
      </w:pPr>
      <w:r w:rsidRPr="001C72A7">
        <w:rPr>
          <w:rFonts w:eastAsia="Times New Roman" w:cs="Times New Roman"/>
          <w:b/>
          <w:sz w:val="22"/>
          <w:szCs w:val="22"/>
          <w:highlight w:val="white"/>
          <w:lang w:val="en"/>
        </w:rPr>
        <w:t>Regional Groupings:</w:t>
      </w:r>
      <w:r w:rsidRPr="001C72A7">
        <w:rPr>
          <w:rFonts w:eastAsia="Times New Roman" w:cs="Times New Roman"/>
          <w:sz w:val="22"/>
          <w:szCs w:val="22"/>
          <w:highlight w:val="white"/>
          <w:lang w:val="en"/>
        </w:rPr>
        <w:t xml:space="preserve"> For the Sustainable Development Goals, country groupings are defined by the United Nations Statistics Division - </w:t>
      </w:r>
      <w:hyperlink r:id="rId9">
        <w:r w:rsidRPr="001C72A7">
          <w:rPr>
            <w:rFonts w:eastAsia="Times New Roman" w:cs="Times New Roman"/>
            <w:sz w:val="22"/>
            <w:szCs w:val="22"/>
            <w:highlight w:val="white"/>
            <w:lang w:val="en"/>
          </w:rPr>
          <w:t>Standard Country code known as M49)</w:t>
        </w:r>
      </w:hyperlink>
      <w:r w:rsidRPr="001C72A7">
        <w:rPr>
          <w:rFonts w:eastAsia="Times New Roman" w:cs="Times New Roman"/>
          <w:sz w:val="22"/>
          <w:szCs w:val="22"/>
          <w:highlight w:val="white"/>
          <w:lang w:val="en"/>
        </w:rPr>
        <w:t xml:space="preserve">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{"citationItems":[{"id":"ITEM-1","itemData":{"URL":"http://unstats-undesa.opendata.arcgis.com/search?groupIds=065896a584ca4ceb920fbdd3892bee05","accessed":{"date-parts":[["2020","5","19"]]},"container-title":"UN DESA Statistics Division","id":"ITEM-1","issued":{"date-parts":[["2019"]]},"title":"UN Stats Open SDG Data Hub","type":"webpage"},"uris":["http://www.mendeley.com/documents/?uuid=d2c53004-55f0-479d-80bc-796d3bf7f010"]},{"id":"ITEM-2","itemData":{"URL":"https://unstats.un.org/sdgs/indicators/regional-groups/","accessed":{"date-parts":[["2020","6","13"]]},"author":[{"dropping-particle":"","family":"United Nations","given":"","non-dropping-particle":"","parse-names":false,"suffix":""}],"id":"ITEM-2","issued":{"date-parts":[["0"]]},"title":"SDG Indicators Regional groupings used in 2017 Report and Statistical Annex","type":"webpage"},"uris":["http://www.mendeley.com/documents/?uuid=2f729b18-748e-3e10-8885-dd3e18f5b225"]}],"mendeley":{"formattedCitation":"(United Nations, no date; &lt;i&gt;UN Stats Open SDG Data Hub&lt;/i&gt;, 2019)","plainTextFormattedCitation":"(United Nations, no date; UN Stats Open SDG Data Hub, 2019)","previouslyFormattedCitation":"(United Nations, no date; &lt;i&gt;UN Stats Open SDG Data Hub&lt;/i&gt;, 2019)"},"properties":{"noteIndex":0},"schema":"https://github.com/citation-style-language/schema/raw/master/csl-citation.json"}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 xml:space="preserve">(United Nations, no date; </w:t>
      </w:r>
      <w:r w:rsidRPr="001C72A7">
        <w:rPr>
          <w:rFonts w:eastAsia="Times New Roman" w:cs="Times New Roman"/>
          <w:i/>
          <w:noProof/>
          <w:sz w:val="22"/>
          <w:szCs w:val="22"/>
          <w:highlight w:val="white"/>
          <w:lang w:val="en"/>
        </w:rPr>
        <w:t>UN Stats Open SDG Data Hub</w:t>
      </w:r>
      <w:r w:rsidRPr="001C72A7">
        <w:rPr>
          <w:rFonts w:eastAsia="Times New Roman" w:cs="Times New Roman"/>
          <w:noProof/>
          <w:sz w:val="22"/>
          <w:szCs w:val="22"/>
          <w:highlight w:val="white"/>
          <w:lang w:val="en"/>
        </w:rPr>
        <w:t>, 2019)</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Under this code, sub-Saharan Africa</w:t>
      </w:r>
      <w:r w:rsidRPr="001C72A7">
        <w:rPr>
          <w:rFonts w:eastAsia="Times New Roman" w:cs="Times New Roman"/>
          <w:sz w:val="22"/>
          <w:szCs w:val="22"/>
          <w:lang w:val="en"/>
        </w:rPr>
        <w:t xml:space="preserve"> (SSA) is categorized under four regions, namely, Eastern, Middle, Southern, and Western Africa (SDG Indicators, n.d.). Table 2 presents a breakdown of these countries by sub</w:t>
      </w:r>
      <w:r w:rsidR="00E10C93">
        <w:rPr>
          <w:rFonts w:eastAsia="Times New Roman" w:cs="Times New Roman"/>
          <w:sz w:val="22"/>
          <w:szCs w:val="22"/>
          <w:lang w:val="en"/>
        </w:rPr>
        <w:t>-</w:t>
      </w:r>
      <w:r w:rsidRPr="001C72A7">
        <w:rPr>
          <w:rFonts w:eastAsia="Times New Roman" w:cs="Times New Roman"/>
          <w:sz w:val="22"/>
          <w:szCs w:val="22"/>
          <w:lang w:val="en"/>
        </w:rPr>
        <w:t xml:space="preserve">region. </w:t>
      </w:r>
    </w:p>
    <w:p w:rsidR="00023903" w:rsidRPr="00023903" w:rsidRDefault="001C72A7" w:rsidP="00023903">
      <w:pPr>
        <w:pBdr>
          <w:bottom w:val="none" w:sz="0" w:space="1" w:color="000000"/>
        </w:pBdr>
        <w:spacing w:before="160" w:line="360" w:lineRule="auto"/>
        <w:ind w:right="160"/>
        <w:rPr>
          <w:rFonts w:eastAsia="Times New Roman" w:cs="Times New Roman"/>
          <w:b/>
          <w:bCs/>
          <w:sz w:val="22"/>
          <w:szCs w:val="22"/>
          <w:lang w:val="en"/>
        </w:rPr>
      </w:pPr>
      <w:r w:rsidRPr="00023903">
        <w:rPr>
          <w:rFonts w:eastAsia="Times New Roman" w:cs="Times New Roman"/>
          <w:b/>
          <w:bCs/>
          <w:sz w:val="22"/>
          <w:szCs w:val="22"/>
          <w:lang w:val="en"/>
        </w:rPr>
        <w:t>Table 2: Regional Groupings for the Sustainable Development Goals</w:t>
      </w:r>
    </w:p>
    <w:tbl>
      <w:tblPr>
        <w:tblW w:w="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77"/>
        <w:gridCol w:w="3553"/>
      </w:tblGrid>
      <w:tr w:rsidR="00023903" w:rsidRPr="00023903" w:rsidTr="00570077">
        <w:trPr>
          <w:trHeight w:val="511"/>
        </w:trPr>
        <w:tc>
          <w:tcPr>
            <w:tcW w:w="1377" w:type="dxa"/>
          </w:tcPr>
          <w:p w:rsidR="00023903" w:rsidRPr="00023903" w:rsidRDefault="00023903" w:rsidP="00023903">
            <w:pPr>
              <w:pStyle w:val="Indent-Paragraph"/>
              <w:ind w:firstLine="0"/>
              <w:rPr>
                <w:b/>
                <w:lang w:val="en"/>
              </w:rPr>
            </w:pPr>
            <w:r w:rsidRPr="00023903">
              <w:rPr>
                <w:b/>
                <w:lang w:val="en"/>
              </w:rPr>
              <w:t xml:space="preserve">Sub-Saharan Africa  </w:t>
            </w:r>
          </w:p>
        </w:tc>
        <w:tc>
          <w:tcPr>
            <w:tcW w:w="3553" w:type="dxa"/>
          </w:tcPr>
          <w:p w:rsidR="00023903" w:rsidRPr="00023903" w:rsidRDefault="00023903" w:rsidP="00023903">
            <w:pPr>
              <w:pStyle w:val="Indent-Paragraph"/>
              <w:ind w:firstLine="0"/>
              <w:rPr>
                <w:b/>
                <w:lang w:val="en"/>
              </w:rPr>
            </w:pPr>
            <w:r w:rsidRPr="00023903">
              <w:rPr>
                <w:b/>
                <w:lang w:val="en"/>
              </w:rPr>
              <w:t>Countries</w:t>
            </w:r>
            <w:r>
              <w:rPr>
                <w:b/>
                <w:lang w:val="en"/>
              </w:rPr>
              <w:t xml:space="preserve"> by Regional Grouping</w:t>
            </w:r>
          </w:p>
        </w:tc>
      </w:tr>
      <w:tr w:rsidR="00023903" w:rsidRPr="00023903" w:rsidTr="009A52A5">
        <w:trPr>
          <w:trHeight w:val="699"/>
        </w:trPr>
        <w:tc>
          <w:tcPr>
            <w:tcW w:w="1377" w:type="dxa"/>
          </w:tcPr>
          <w:p w:rsidR="00023903" w:rsidRPr="00023903" w:rsidRDefault="00023903" w:rsidP="00023903">
            <w:pPr>
              <w:pStyle w:val="Indent-Paragraph"/>
              <w:ind w:firstLine="0"/>
              <w:rPr>
                <w:lang w:val="en"/>
              </w:rPr>
            </w:pPr>
            <w:r>
              <w:rPr>
                <w:lang w:val="en"/>
              </w:rPr>
              <w:t xml:space="preserve">Eastern Africa </w:t>
            </w:r>
          </w:p>
        </w:tc>
        <w:tc>
          <w:tcPr>
            <w:tcW w:w="3553" w:type="dxa"/>
          </w:tcPr>
          <w:p w:rsidR="00023903" w:rsidRPr="00023903" w:rsidRDefault="00023903" w:rsidP="00023903">
            <w:pPr>
              <w:pStyle w:val="Indent-Paragraph"/>
              <w:ind w:firstLine="0"/>
              <w:rPr>
                <w:lang w:val="en"/>
              </w:rPr>
            </w:pPr>
            <w:r w:rsidRPr="00023903">
              <w:rPr>
                <w:lang w:val="en"/>
              </w:rPr>
              <w:t>British Indian Ocean Territory*, Burundi, Comoros, Djibouti, Eritrea, Ethiopia, French Southern Territories*, Kenya, Madagascar, Malawi, Mauritius, Mayotte*, Mozambique, Réunion*, Rwanda, Seychelles, Somalia, South Sudan, Uganda, United Republic of Tanzania, Zambia, Zimbabwe</w:t>
            </w:r>
          </w:p>
        </w:tc>
      </w:tr>
      <w:tr w:rsidR="00023903" w:rsidRPr="00023903" w:rsidTr="00570077">
        <w:trPr>
          <w:trHeight w:val="1022"/>
        </w:trPr>
        <w:tc>
          <w:tcPr>
            <w:tcW w:w="1377" w:type="dxa"/>
          </w:tcPr>
          <w:p w:rsidR="00023903" w:rsidRPr="00023903" w:rsidRDefault="00023903" w:rsidP="00023903">
            <w:pPr>
              <w:pStyle w:val="Indent-Paragraph"/>
              <w:ind w:firstLine="0"/>
              <w:rPr>
                <w:lang w:val="en"/>
              </w:rPr>
            </w:pPr>
            <w:r>
              <w:rPr>
                <w:lang w:val="en"/>
              </w:rPr>
              <w:t xml:space="preserve">Middle Africa </w:t>
            </w:r>
          </w:p>
        </w:tc>
        <w:tc>
          <w:tcPr>
            <w:tcW w:w="3553" w:type="dxa"/>
          </w:tcPr>
          <w:p w:rsidR="00023903" w:rsidRPr="00023903" w:rsidRDefault="00023903" w:rsidP="00023903">
            <w:pPr>
              <w:pStyle w:val="Indent-Paragraph"/>
              <w:ind w:firstLine="0"/>
              <w:rPr>
                <w:lang w:val="en"/>
              </w:rPr>
            </w:pPr>
            <w:r w:rsidRPr="00023903">
              <w:rPr>
                <w:lang w:val="en"/>
              </w:rPr>
              <w:t>Angola, Cameroon, Central African Republic, Chad, Congo, Democratic Republic of the Congo, Equatorial Guinea, Gabon, Sao Tome and Principe</w:t>
            </w:r>
          </w:p>
        </w:tc>
      </w:tr>
      <w:tr w:rsidR="00023903" w:rsidRPr="00023903" w:rsidTr="00570077">
        <w:trPr>
          <w:trHeight w:val="511"/>
        </w:trPr>
        <w:tc>
          <w:tcPr>
            <w:tcW w:w="1377" w:type="dxa"/>
          </w:tcPr>
          <w:p w:rsidR="00023903" w:rsidRPr="00023903" w:rsidRDefault="00023903" w:rsidP="00023903">
            <w:pPr>
              <w:pStyle w:val="Indent-Paragraph"/>
              <w:ind w:firstLine="0"/>
              <w:rPr>
                <w:lang w:val="en"/>
              </w:rPr>
            </w:pPr>
            <w:r>
              <w:rPr>
                <w:lang w:val="en"/>
              </w:rPr>
              <w:t xml:space="preserve">Southern Africa </w:t>
            </w:r>
          </w:p>
        </w:tc>
        <w:tc>
          <w:tcPr>
            <w:tcW w:w="3553" w:type="dxa"/>
          </w:tcPr>
          <w:p w:rsidR="00023903" w:rsidRPr="00023903" w:rsidRDefault="00023903" w:rsidP="00023903">
            <w:pPr>
              <w:pStyle w:val="Indent-Paragraph"/>
              <w:ind w:firstLine="0"/>
              <w:rPr>
                <w:lang w:val="en"/>
              </w:rPr>
            </w:pPr>
            <w:r w:rsidRPr="00023903">
              <w:rPr>
                <w:lang w:val="en"/>
              </w:rPr>
              <w:t>Botswana, Eswatini, Lesotho, Namibia, South Africa</w:t>
            </w:r>
          </w:p>
        </w:tc>
      </w:tr>
      <w:tr w:rsidR="00023903" w:rsidRPr="0042554A" w:rsidTr="00570077">
        <w:trPr>
          <w:trHeight w:val="1095"/>
        </w:trPr>
        <w:tc>
          <w:tcPr>
            <w:tcW w:w="1377" w:type="dxa"/>
          </w:tcPr>
          <w:p w:rsidR="00023903" w:rsidRPr="00023903" w:rsidRDefault="00023903" w:rsidP="00023903">
            <w:pPr>
              <w:pStyle w:val="Indent-Paragraph"/>
              <w:ind w:firstLine="0"/>
              <w:rPr>
                <w:lang w:val="en"/>
              </w:rPr>
            </w:pPr>
            <w:r w:rsidRPr="00023903">
              <w:rPr>
                <w:lang w:val="en"/>
              </w:rPr>
              <w:t>Western Afric</w:t>
            </w:r>
            <w:r>
              <w:rPr>
                <w:lang w:val="en"/>
              </w:rPr>
              <w:t xml:space="preserve">a </w:t>
            </w:r>
          </w:p>
        </w:tc>
        <w:tc>
          <w:tcPr>
            <w:tcW w:w="3553" w:type="dxa"/>
          </w:tcPr>
          <w:p w:rsidR="00023903" w:rsidRPr="00570077" w:rsidRDefault="00023903" w:rsidP="00023903">
            <w:pPr>
              <w:pStyle w:val="Indent-Paragraph"/>
              <w:ind w:firstLine="0"/>
              <w:rPr>
                <w:lang w:val="es-ES"/>
              </w:rPr>
            </w:pPr>
            <w:r w:rsidRPr="00570077">
              <w:rPr>
                <w:lang w:val="es-ES"/>
              </w:rPr>
              <w:t>Benin, Burkina Faso, Cabo Verde, Côte d’Ivoire, Gambia, Ghana, Guinea, Guinea-Bissau, Liberia, Mali, Mauritania, Niger, Nigeria, Saint Helena*, Senegal, Sierra Leone, Togo</w:t>
            </w:r>
          </w:p>
        </w:tc>
      </w:tr>
    </w:tbl>
    <w:p w:rsidR="001C72A7" w:rsidRPr="001C72A7" w:rsidRDefault="001C72A7" w:rsidP="001C72A7">
      <w:pPr>
        <w:pBdr>
          <w:bottom w:val="none" w:sz="0" w:space="1" w:color="000000"/>
        </w:pBdr>
        <w:spacing w:before="160" w:line="240" w:lineRule="auto"/>
        <w:ind w:right="160"/>
        <w:rPr>
          <w:rFonts w:eastAsia="Times New Roman" w:cs="Times New Roman"/>
          <w:sz w:val="22"/>
          <w:szCs w:val="22"/>
          <w:lang w:val="en"/>
        </w:rPr>
      </w:pPr>
      <w:r w:rsidRPr="001C72A7">
        <w:rPr>
          <w:rFonts w:eastAsia="Times New Roman" w:cs="Times New Roman"/>
          <w:sz w:val="22"/>
          <w:szCs w:val="22"/>
          <w:lang w:val="en"/>
        </w:rPr>
        <w:t>Note: * indicates a country that does not have data in the world bank database.</w:t>
      </w:r>
    </w:p>
    <w:p w:rsidR="001C72A7" w:rsidRPr="001C72A7" w:rsidRDefault="001C72A7" w:rsidP="001C72A7">
      <w:pPr>
        <w:pBdr>
          <w:bottom w:val="none" w:sz="0" w:space="1" w:color="000000"/>
        </w:pBdr>
        <w:spacing w:before="160" w:line="240" w:lineRule="auto"/>
        <w:ind w:right="160"/>
        <w:rPr>
          <w:rFonts w:eastAsia="Times New Roman" w:cs="Times New Roman"/>
          <w:sz w:val="22"/>
          <w:szCs w:val="22"/>
          <w:lang w:val="en"/>
        </w:rPr>
      </w:pPr>
      <w:r w:rsidRPr="001C72A7">
        <w:rPr>
          <w:rFonts w:eastAsia="Times New Roman" w:cs="Times New Roman"/>
          <w:sz w:val="22"/>
          <w:szCs w:val="22"/>
          <w:lang w:val="en"/>
        </w:rPr>
        <w:t xml:space="preserve">Source: </w:t>
      </w:r>
      <w:r w:rsidRPr="001C72A7">
        <w:rPr>
          <w:rFonts w:eastAsia="Times New Roman" w:cs="Times New Roman"/>
          <w:sz w:val="22"/>
          <w:szCs w:val="22"/>
          <w:lang w:val="en"/>
        </w:rPr>
        <w:fldChar w:fldCharType="begin" w:fldLock="1"/>
      </w:r>
      <w:r w:rsidRPr="001C72A7">
        <w:rPr>
          <w:rFonts w:eastAsia="Times New Roman" w:cs="Times New Roman"/>
          <w:sz w:val="22"/>
          <w:szCs w:val="22"/>
          <w:lang w:val="en"/>
        </w:rPr>
        <w:instrText>ADDIN CSL_CITATION {"citationItems":[{"id":"ITEM-1","itemData":{"URL":"https://unstats.un.org/unsd/methodology/m49/","accessed":{"date-parts":[["2020","6","13"]]},"author":[{"dropping-particle":"","family":"UN Statistical Division","given":"","non-dropping-particle":"","parse-names":false,"suffix":""}],"container-title":"UN Statistical Division","id":"ITEM-1","issued":{"date-parts":[["0"]]},"title":"Standard country or area codes for statistical use (M49)","type":"webpage"},"uris":["http://www.mendeley.com/documents/?uuid=45b6b97b-55e3-337f-870f-17c8ab5f5f58"]}],"mendeley":{"formattedCitation":"(UN Statistical Division, no date)","plainTextFormattedCitation":"(UN Statistical Division, no date)","previouslyFormattedCitation":"(UN Statistical Division, no date)"},"properties":{"noteIndex":0},"schema":"https://github.com/citation-style-language/schema/raw/master/csl-citation.json"}</w:instrText>
      </w:r>
      <w:r w:rsidRPr="001C72A7">
        <w:rPr>
          <w:rFonts w:eastAsia="Times New Roman" w:cs="Times New Roman"/>
          <w:sz w:val="22"/>
          <w:szCs w:val="22"/>
          <w:lang w:val="en"/>
        </w:rPr>
        <w:fldChar w:fldCharType="separate"/>
      </w:r>
      <w:r w:rsidRPr="001C72A7">
        <w:rPr>
          <w:rFonts w:eastAsia="Times New Roman" w:cs="Times New Roman"/>
          <w:noProof/>
          <w:sz w:val="22"/>
          <w:szCs w:val="22"/>
          <w:lang w:val="en"/>
        </w:rPr>
        <w:t>(UN Statistical Division, no</w:t>
      </w:r>
      <w:r w:rsidR="00023903">
        <w:rPr>
          <w:rFonts w:eastAsia="Times New Roman" w:cs="Times New Roman"/>
          <w:noProof/>
          <w:sz w:val="22"/>
          <w:szCs w:val="22"/>
          <w:lang w:val="en"/>
        </w:rPr>
        <w:t>t</w:t>
      </w:r>
      <w:r w:rsidRPr="001C72A7">
        <w:rPr>
          <w:rFonts w:eastAsia="Times New Roman" w:cs="Times New Roman"/>
          <w:noProof/>
          <w:sz w:val="22"/>
          <w:szCs w:val="22"/>
          <w:lang w:val="en"/>
        </w:rPr>
        <w:t xml:space="preserve"> date</w:t>
      </w:r>
      <w:r w:rsidR="00023903">
        <w:rPr>
          <w:rFonts w:eastAsia="Times New Roman" w:cs="Times New Roman"/>
          <w:noProof/>
          <w:sz w:val="22"/>
          <w:szCs w:val="22"/>
          <w:lang w:val="en"/>
        </w:rPr>
        <w:t>d</w:t>
      </w:r>
      <w:r w:rsidRPr="001C72A7">
        <w:rPr>
          <w:rFonts w:eastAsia="Times New Roman" w:cs="Times New Roman"/>
          <w:noProof/>
          <w:sz w:val="22"/>
          <w:szCs w:val="22"/>
          <w:lang w:val="en"/>
        </w:rPr>
        <w:t>)</w:t>
      </w:r>
      <w:r w:rsidRPr="001C72A7">
        <w:rPr>
          <w:rFonts w:eastAsia="Times New Roman" w:cs="Times New Roman"/>
          <w:sz w:val="22"/>
          <w:szCs w:val="22"/>
          <w:lang w:val="en"/>
        </w:rPr>
        <w:fldChar w:fldCharType="end"/>
      </w:r>
    </w:p>
    <w:p w:rsidR="001C72A7" w:rsidRPr="001C72A7" w:rsidRDefault="001C72A7" w:rsidP="001C72A7">
      <w:pPr>
        <w:spacing w:line="240" w:lineRule="auto"/>
        <w:rPr>
          <w:rFonts w:eastAsia="Times New Roman" w:cs="Times New Roman"/>
          <w:sz w:val="22"/>
          <w:szCs w:val="22"/>
          <w:highlight w:val="white"/>
          <w:lang w:val="en"/>
        </w:rPr>
      </w:pPr>
    </w:p>
    <w:p w:rsidR="001C72A7" w:rsidRPr="001C72A7" w:rsidRDefault="001C72A7" w:rsidP="001C72A7">
      <w:pPr>
        <w:spacing w:line="360" w:lineRule="auto"/>
        <w:rPr>
          <w:rFonts w:eastAsia="Times New Roman" w:cs="Times New Roman"/>
          <w:b/>
          <w:sz w:val="22"/>
          <w:szCs w:val="22"/>
          <w:highlight w:val="yellow"/>
          <w:lang w:val="en"/>
        </w:rPr>
      </w:pPr>
      <w:r w:rsidRPr="001C72A7">
        <w:rPr>
          <w:rFonts w:eastAsia="Times New Roman" w:cs="Times New Roman"/>
          <w:b/>
          <w:sz w:val="22"/>
          <w:szCs w:val="22"/>
          <w:highlight w:val="white"/>
          <w:lang w:val="en"/>
        </w:rPr>
        <w:t xml:space="preserve">Prevalence of undernourishment </w:t>
      </w:r>
      <w:r w:rsidRPr="001C72A7">
        <w:rPr>
          <w:rFonts w:eastAsia="Times New Roman" w:cs="Times New Roman"/>
          <w:sz w:val="22"/>
          <w:szCs w:val="22"/>
          <w:highlight w:val="white"/>
          <w:lang w:val="en"/>
        </w:rPr>
        <w:t xml:space="preserve">(PoU) is an internationally recognized indicator defined by the FAO as “the percentage of the population whose food intake is insufficient to meet dietary energy requirements continuously”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URL":"http://www.fao.org/sustainable-development-goals/indicators/211/en/","accessed":{"date-parts":[["2020","5","19"]]},"author":[{"dropping-particle":"","family":"FAO","given":"","non-dropping-particle":"","parse-names":false,"suffix":""}],"container-title":"Sustainable Development Goals | Food and Agriculture Organization of the United Nations","id":"ITEM-1","issued":{"date-parts":[["0"]]},"title":"2.1.1 Prevalence of undernourishment |","type":"webpage"},"uris":["http://www.mendeley.com/documents/?uuid=cde21b38-9647-4cf6-9cb6-b13ed3c17f3d"]}],"mendeley":{"formattedCitation":"(FAO, no date)","plainTextFormattedCitation":"(FAO, no date)","previouslyFormattedCitation":"(FAO, no date)"},"properties":{"noteIndex":0},"schema":"https://github.com/citation-style-language/schema/raw/master/csl-citation.json"}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(FAO, no date)</w:t>
      </w:r>
      <w:r w:rsidRPr="001C72A7">
        <w:rPr>
          <w:rFonts w:eastAsia="Times New Roman" w:cs="Times New Roman"/>
          <w:sz w:val="22"/>
          <w:szCs w:val="22"/>
          <w:highlight w:val="white"/>
          <w:lang w:val="en"/>
        </w:rPr>
        <w:fldChar w:fldCharType="end"/>
      </w:r>
      <w:r w:rsidRPr="001C72A7">
        <w:rPr>
          <w:rFonts w:eastAsia="Times New Roman" w:cs="Times New Roman"/>
          <w:sz w:val="22"/>
          <w:szCs w:val="22"/>
          <w:lang w:val="en"/>
        </w:rPr>
        <w:t xml:space="preserve">. The measure takes into consideration demographic factors, including sex and age, and habitual food consumption </w:t>
      </w:r>
      <w:r w:rsidRPr="001C72A7">
        <w:rPr>
          <w:rFonts w:eastAsia="Times New Roman" w:cs="Times New Roman"/>
          <w:sz w:val="22"/>
          <w:szCs w:val="22"/>
          <w:lang w:val="en"/>
        </w:rPr>
        <w:fldChar w:fldCharType="begin" w:fldLock="1"/>
      </w:r>
      <w:r w:rsidRPr="001C72A7">
        <w:rPr>
          <w:rFonts w:eastAsia="Times New Roman" w:cs="Times New Roman"/>
          <w:sz w:val="22"/>
          <w:szCs w:val="22"/>
          <w:lang w:val="en"/>
        </w:rPr>
        <w:instrText>ADDIN CSL_CITATION {"citationItems":[{"id":"ITEM-1","itemData":{"author":[{"dropping-particle":"","family":"Cafiero","given":"Carlo","non-dropping-particle":"","parse-names":false,"suffix":""}],"container-title":"FAO Statistics Division. Workinng paper Series","id":"ITEM-1","issue":"ESS/14-04","issued":{"date-parts":[["2014"]]},"page":"1-27","title":"Advances in hunger measurement Traditional FAO methods and recent innovations","type":"article-journal"},"uris":["http://www.mendeley.com/documents/?uuid=7f28db7e-c27d-4b2d-b2c6-304282639090"]},{"id":"ITEM-2","itemData":{"DOI":"10.1007/BF00428044","ISBN":"9789251087855","ISSN":"00656100","abstract":"With reference to histological pictures it is demonstrated that topographically the zonular fibers correspond to two different embryonal blood vessel areas: 1. to the vessels which take their course from the front around the margin of the eye-cup (which later on becomes the ora serrata and the ciliary body) and 2. to the vessels which extend from the tunica vasculosa lentis to the retina. Hereby, the posterior limit of the last-mentioned vessels becomes the limiting membrane of the vitreous body. The zonular fibrils should be formed essentially by fibroblasts which have been left in particular in the area of former blood vessels. © 1969 Springer-Verlag.","author":[{"dropping-particle":"","family":"FAO","given":"","non-dropping-particle":"","parse-names":false,"suffix":""},{"dropping-particle":"","family":"IFAD","given":"","non-dropping-particle":"","parse-names":false,"suffix":""},{"dropping-particle":"","family":"WFP","given":"","non-dropping-particle":"","parse-names":false,"suffix":""}],"container-title":"The State of Food Insecurity in the World","id":"ITEM-2","issue":"1","issued":{"date-parts":[["2015"]]},"number-of-pages":"44-50","title":"The State of Food Insecurity in the World","type":"report"},"uris":["http://www.mendeley.com/documents/?uuid=16365408-8c16-4df6-a539-d9b2dda2a64f"]}],"mendeley":{"formattedCitation":"(Cafiero, 2014; FAO, IFAD and WFP, 2015)","plainTextFormattedCitation":"(Cafiero, 2014; FAO, IFAD and WFP, 2015)","previouslyFormattedCitation":"(Cafiero, 2014; FAO, IFAD and WFP, 2015)"},"properties":{"noteIndex":0},"schema":"https://github.com/citation-style-language/schema/raw/master/csl-citation.json"}</w:instrText>
      </w:r>
      <w:r w:rsidRPr="001C72A7">
        <w:rPr>
          <w:rFonts w:eastAsia="Times New Roman" w:cs="Times New Roman"/>
          <w:sz w:val="22"/>
          <w:szCs w:val="22"/>
          <w:lang w:val="en"/>
        </w:rPr>
        <w:fldChar w:fldCharType="separate"/>
      </w:r>
      <w:r w:rsidRPr="001C72A7">
        <w:rPr>
          <w:rFonts w:eastAsia="Times New Roman" w:cs="Times New Roman"/>
          <w:noProof/>
          <w:sz w:val="22"/>
          <w:szCs w:val="22"/>
          <w:lang w:val="en"/>
        </w:rPr>
        <w:t>(Cafiero, 2014; FAO, IFAD and WFP, 2015)</w:t>
      </w:r>
      <w:r w:rsidRPr="001C72A7">
        <w:rPr>
          <w:rFonts w:eastAsia="Times New Roman" w:cs="Times New Roman"/>
          <w:sz w:val="22"/>
          <w:szCs w:val="22"/>
          <w:lang w:val="en"/>
        </w:rPr>
        <w:fldChar w:fldCharType="end"/>
      </w:r>
      <w:r w:rsidRPr="001C72A7">
        <w:rPr>
          <w:rFonts w:eastAsia="Times New Roman" w:cs="Times New Roman"/>
          <w:sz w:val="22"/>
          <w:szCs w:val="22"/>
          <w:highlight w:val="white"/>
          <w:lang w:val="en"/>
        </w:rPr>
        <w:t>.</w:t>
      </w:r>
    </w:p>
    <w:p w:rsidR="001C72A7" w:rsidRPr="001C72A7" w:rsidRDefault="001C72A7" w:rsidP="001C72A7">
      <w:pPr>
        <w:spacing w:line="360" w:lineRule="auto"/>
        <w:rPr>
          <w:rFonts w:eastAsia="Times New Roman" w:cs="Times New Roman"/>
          <w:sz w:val="22"/>
          <w:szCs w:val="22"/>
          <w:lang w:val="en"/>
        </w:rPr>
      </w:pPr>
      <w:r w:rsidRPr="001C72A7">
        <w:rPr>
          <w:rFonts w:eastAsia="Times New Roman" w:cs="Times New Roman"/>
          <w:b/>
          <w:sz w:val="22"/>
          <w:szCs w:val="22"/>
          <w:lang w:val="en"/>
        </w:rPr>
        <w:t xml:space="preserve">Prevalence of Food Insecurity. </w:t>
      </w:r>
      <w:r w:rsidRPr="001C72A7">
        <w:rPr>
          <w:rFonts w:eastAsia="Times New Roman" w:cs="Times New Roman"/>
          <w:sz w:val="22"/>
          <w:szCs w:val="22"/>
          <w:lang w:val="en"/>
        </w:rPr>
        <w:t xml:space="preserve">Typically, food security/insecurity at the household level is captured by a number of indicators highlighting elements, including (i) affordability/accessibility, (ii) availability, (iii) quality &amp; safety, (iv) utilization, and (v) stability </w:t>
      </w:r>
      <w:r w:rsidRPr="001C72A7">
        <w:rPr>
          <w:rFonts w:eastAsia="Times New Roman" w:cs="Times New Roman"/>
          <w:sz w:val="22"/>
          <w:szCs w:val="22"/>
          <w:lang w:val="en"/>
        </w:rPr>
        <w:fldChar w:fldCharType="begin" w:fldLock="1"/>
      </w:r>
      <w:r w:rsidRPr="001C72A7">
        <w:rPr>
          <w:rFonts w:eastAsia="Times New Roman" w:cs="Times New Roman"/>
          <w:sz w:val="22"/>
          <w:szCs w:val="22"/>
          <w:lang w:val="en"/>
        </w:rPr>
        <w:instrText>ADDIN CSL_CITATION {"citationItems":[{"id":"ITEM-1","itemData":{"DOI":"ISSN 1728-9246","ISBN":"9788578110796","ISSN":"1098-6596","PMID":"25246403","abstract":"Currently, the world is faced with an unprecedented call for action at a moment in which four countries have been identified as at risk of famine, and demand for humanitarian and resilience assistance is escalating. Against this background, informing the global and national food security community on the risk of food crises and on the severity of such crises is of fundamental importance. In recent years, stakeholders have made major investments to improve food security analysis and related early warning systems in order to prevent and tackle food crises more efficiently. Although significant improvements have been made over time in the methods and technologies used to improve the quality and timeliness of food security assessments and monitoring systems, a comprehensive global pictures of food crises is still often missing. Partial geographical coverage and a lack of comparable data within a standardised system make it difficult to get a full global picture of food crises at any given time. The European Union, WFP and FAO have joined forces to coordinate the compilation of analyses to increase the impact of humanitarian and resilience responses through the preparation of the “Global report on Food Crises”. The Global Report enhances coordination and decision-making through a neutral analysis that informs program planning and implementation. The key objective and strength of the report is to establish a consultative and consensus-based process to compile food insecurity analysis from throughout the world into a global public product to inform annual planning and resource allocation decisions. Technical, operational and financial partners require evidence-based information to ensure appropriate planning and resources to tackle the consequences of food security crises within an evolving humanitarian financing landscape. The World Humanitarian Summit has prompted a major rethink of the way response financing is delivered in crisis settings, highlighting the need for more long-term development investments to address risk, prevent crises and build resilience. Since 2013, the European Commission has worked to develop ways to compare and clarify the results of food security analyses across partners and geographical areas to provide a comprehensive overview of the global food security situation. In 2015, the Joint Research Centre of the European Commission (ECJRC) produced an annual report on food insecurity hotspots to inform decisions on food crisis allocation…","author":[{"dropping-particle":"","family":"FSIN","given":"","non-dropping-particle":"","parse-names":false,"suffix":""}],"container-title":"World Food Programme","id":"ITEM-1","issued":{"date-parts":[["2019"]]},"title":"Global Report on Food Crises 2019","type":"report"},"uris":["http://www.mendeley.com/documents/?uuid=f9be4e4f-6093-43c4-9996-c35cc659ab71"]}],"mendeley":{"formattedCitation":"(FSIN, 2019)","plainTextFormattedCitation":"(FSIN, 2019)","previouslyFormattedCitation":"(FSIN, 2019)"},"properties":{"noteIndex":0},"schema":"https://github.com/citation-style-language/schema/raw/master/csl-citation.json"}</w:instrText>
      </w:r>
      <w:r w:rsidRPr="001C72A7">
        <w:rPr>
          <w:rFonts w:eastAsia="Times New Roman" w:cs="Times New Roman"/>
          <w:sz w:val="22"/>
          <w:szCs w:val="22"/>
          <w:lang w:val="en"/>
        </w:rPr>
        <w:fldChar w:fldCharType="separate"/>
      </w:r>
      <w:r w:rsidRPr="001C72A7">
        <w:rPr>
          <w:rFonts w:eastAsia="Times New Roman" w:cs="Times New Roman"/>
          <w:noProof/>
          <w:sz w:val="22"/>
          <w:szCs w:val="22"/>
          <w:lang w:val="en"/>
        </w:rPr>
        <w:t>(FSIN, 2019)</w:t>
      </w:r>
      <w:r w:rsidRPr="001C72A7">
        <w:rPr>
          <w:rFonts w:eastAsia="Times New Roman" w:cs="Times New Roman"/>
          <w:sz w:val="22"/>
          <w:szCs w:val="22"/>
          <w:lang w:val="en"/>
        </w:rPr>
        <w:fldChar w:fldCharType="end"/>
      </w:r>
      <w:r w:rsidRPr="001C72A7">
        <w:rPr>
          <w:rFonts w:eastAsia="Times New Roman" w:cs="Times New Roman"/>
          <w:sz w:val="22"/>
          <w:szCs w:val="22"/>
          <w:lang w:val="en"/>
        </w:rPr>
        <w:t>.</w:t>
      </w:r>
    </w:p>
    <w:p w:rsidR="001C72A7" w:rsidRPr="001C72A7" w:rsidRDefault="001C72A7" w:rsidP="001C72A7">
      <w:pPr>
        <w:spacing w:line="360" w:lineRule="auto"/>
        <w:rPr>
          <w:rFonts w:eastAsia="Times New Roman" w:cs="Times New Roman"/>
          <w:b/>
          <w:sz w:val="22"/>
          <w:szCs w:val="22"/>
          <w:highlight w:val="white"/>
          <w:lang w:val="en"/>
        </w:rPr>
      </w:pPr>
      <w:r w:rsidRPr="001C72A7">
        <w:rPr>
          <w:rFonts w:eastAsia="Times New Roman" w:cs="Times New Roman"/>
          <w:b/>
          <w:sz w:val="22"/>
          <w:szCs w:val="22"/>
          <w:highlight w:val="white"/>
          <w:lang w:val="en"/>
        </w:rPr>
        <w:t>Prevalence of Stunting</w:t>
      </w:r>
      <w:r w:rsidRPr="001C72A7">
        <w:rPr>
          <w:rFonts w:eastAsia="Times New Roman" w:cs="Times New Roman"/>
          <w:sz w:val="22"/>
          <w:szCs w:val="22"/>
          <w:highlight w:val="white"/>
          <w:lang w:val="en"/>
        </w:rPr>
        <w:t xml:space="preserve"> (PoS) is a global indicator used to capture Low height-for-age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{"citationItems":[{"id":"ITEM-1","itemData":{"author":[{"dropping-particle":"","family":"WHO","given":"","non-dropping-particle":"","parse-names":false,"suffix":""}],"id":"ITEM-1","issued":{"date-parts":[["2010"]]},"title":"Interpretation Guide Nutrition Landscape Information System (NLIS) Country Profile indiCators","type":"report"},"uris":["http://www.mendeley.com/documents/?uuid=871faed9-7478-3f90-a87d-6055d2a2ef2d"]}],"mendeley":{"formattedCitation":"(WHO, 2010)","plainTextFormattedCitation":"(WHO, 2010)","previouslyFormattedCitation":"(WHO, 2010)"},"properties":{"noteIndex":0},"schema":"https://github.com/citation-style-language/schema/raw/master/csl-citation.json"}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(WHO, 2010)</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The indicator reflects failure to reach linear growth potential as a result of suboptimal health and/or nutritional conditions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{"citationItems":[{"id":"ITEM-1","itemData":{"DOI":"10.1017/S1368980018002434","ISBN":"1368980018002","ISSN":"14752727","abstract":"Objective Prevalence ranges to classify levels of wasting and stunting have been used since the 1990s for global monitoring of malnutrition. Recent developments prompted a re-examination of existing ranges and development of new ones for childhood overweight. The present paper reports from the WHO–UNICEF Technical Expert Advisory Group on Nutrition Monitoring. Design Thresholds were developed in relation to sd of the normative WHO Child Growth Standards. The international definition of ‘normal’ (2 sd below/above the WHO standards median) defines the first threshold, which includes 2·3 % of the area under the normalized distribution. Multipliers of this ‘very low’ level (rounded to 2·5 %) set the basis to establish subsequent thresholds. Country groupings using the thresholds were produced using the most recent set of national surveys. Setting One hundred and thirty-four countries. Subjects Children under 5 years. Results For wasting and overweight, thresholds are: ‘very low’ (&lt;2·5 %), ‘low’ (≈1–2 times 2·5 %), ‘medium’ (≈2–4 times 2·5 %), ‘high’ (≈4–6 times 2·5 %) and ‘very high’ (&gt;≈6 times 2·5 %). For stunting, thresholds are: ‘very low’ (&lt;2·5 %), ‘low’ (≈1–4 times 2·5 %), ‘medium’ (≈4–8 times 2·5 %), ‘high’ (≈8–12 times 2·5 %) and ‘very high’ (&gt;≈12 times 2·5 %). Conclusions The proposed thresholds minimize changes and keep coherence across anthropometric indicators. They can be used for descriptive purposes to map countries according to severity levels; by donors and global actors to identify priority countries for action; and by governments to trigger action and target programmes aimed at achieving ‘low’ or ‘very low’ levels. Harmonized terminology will help avoid confusion and promote appropriate interventions.","author":[{"dropping-particle":"","family":"Onis","given":"Mercedes","non-dropping-particle":"De","parse-names":false,"suffix":""},{"dropping-particle":"","family":"Borghi","given":"Elaine","non-dropping-particle":"","parse-names":false,"suffix":""},{"dropping-particle":"","family":"Arimond","given":"Mary","non-dropping-particle":"","parse-names":false,"suffix":""},{"dropping-particle":"","family":"Webb","given":"Patrick","non-dropping-particle":"","parse-names":false,"suffix":""},{"dropping-particle":"","family":"Croft","given":"Trevor","non-dropping-particle":"","parse-names":false,"suffix":""},{"dropping-particle":"","family":"Saha","given":"Kuntal","non-dropping-particle":"","parse-names":false,"suffix":""},{"dropping-particle":"","family":"De-Regil","given":"Luz Maria","non-dropping-particle":"","parse-names":false,"suffix":""},{"dropping-particle":"","family":"Thuita","given":"Faith","non-dropping-particle":"","parse-names":false,"suffix":""},{"dropping-particle":"","family":"Heidkamp","given":"Rebecca","non-dropping-particle":"","parse-names":false,"suffix":""},{"dropping-particle":"","family":"Krasevec","given":"Julia","non-dropping-particle":"","parse-names":false,"suffix":""},{"dropping-particle":"","family":"Hayashi","given":"Chika","non-dropping-particle":"","parse-names":false,"suffix":""},{"dropping-particle":"","family":"Flores-Ayala","given":"Rafael","non-dropping-particle":"","parse-names":false,"suffix":""}],"container-title":"Public Health Nutrition","id":"ITEM-1","issue":"1","issued":{"date-parts":[["2019"]]},"page":"175-179","title":"Prevalence thresholds for wasting, overweight and stunting in children under 5 years","type":"article-journal","volume":"22"},"uris":["http://www.mendeley.com/documents/?uuid=a599a6e8-dda5-4967-93a5-62219dfc3e7a"]},{"id":"ITEM-2","itemData":{"author":[{"dropping-particle":"","family":"WHO","given":"","non-dropping-particle":"","parse-names":false,"suffix":""}],"id":"ITEM-2","issued":{"date-parts":[["2010"]]},"title":"Interpretation Guide Nutrition Landscape Information System (NLIS) Country Profile indiCators","type":"report"},"uris":["http://www.mendeley.com/documents/?uuid=871faed9-7478-3f90-a87d-6055d2a2ef2d"]},{"id":"ITEM-3","itemData":{"author":[{"dropping-particle":"","family":"WHO","given":"","non-dropping-particle":"","parse-names":false,"suffix":""}],"id":"ITEM-3","issue":"2","issued":{"date-parts":[["2014"]]},"number-of-pages":"74-76, 78","publisher-place":"Geneva, Switzerland","title":"Global Nutrition Targets 2025 Stunting Policy Brief","type":"report","volume":"122"},"uris":["http://www.mendeley.com/documents/?uuid=3c8fe1ce-e126-451c-bf3e-cc307d2be5ae"]}],"mendeley":{"formattedCitation":"(WHO, 2010, 2014; De Onis &lt;i&gt;et al.&lt;/i&gt;, 2019)","plainTextFormattedCitation":"(WHO, 2010, 2014; De Onis et al., 2019)","previouslyFormattedCitation":"(WHO, 2010, 2014; De Onis &lt;i&gt;et al.&lt;/i&gt;, 2019)"},"properties":{"noteIndex":0},"schema":"https://github.com/citation-style-language/schema/raw/master/csl-citation.json"}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 xml:space="preserve">(WHO, 2010, 2014; De Onis </w:t>
      </w:r>
      <w:r w:rsidRPr="001C72A7">
        <w:rPr>
          <w:rFonts w:eastAsia="Times New Roman" w:cs="Times New Roman"/>
          <w:i/>
          <w:noProof/>
          <w:sz w:val="22"/>
          <w:szCs w:val="22"/>
          <w:highlight w:val="white"/>
          <w:lang w:val="en"/>
        </w:rPr>
        <w:t>et al.</w:t>
      </w:r>
      <w:r w:rsidRPr="001C72A7">
        <w:rPr>
          <w:rFonts w:eastAsia="Times New Roman" w:cs="Times New Roman"/>
          <w:noProof/>
          <w:sz w:val="22"/>
          <w:szCs w:val="22"/>
          <w:highlight w:val="white"/>
          <w:lang w:val="en"/>
        </w:rPr>
        <w:t>, 2019)</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w:t>
      </w:r>
      <w:r w:rsidRPr="001C72A7">
        <w:rPr>
          <w:rFonts w:eastAsia="Times New Roman" w:cs="Times New Roman"/>
          <w:b/>
          <w:sz w:val="22"/>
          <w:szCs w:val="22"/>
          <w:lang w:val="en"/>
        </w:rPr>
        <w:t xml:space="preserve"> </w:t>
      </w:r>
      <w:r w:rsidRPr="001C72A7">
        <w:rPr>
          <w:rFonts w:eastAsia="Times New Roman" w:cs="Times New Roman"/>
          <w:sz w:val="22"/>
          <w:szCs w:val="22"/>
          <w:highlight w:val="white"/>
          <w:lang w:val="en"/>
        </w:rPr>
        <w:t xml:space="preserve">The measure assesses the percentage of children under age 5 whose height for age is more than two standard deviations below the median for the international reference population ages 0-59 months. </w:t>
      </w:r>
    </w:p>
    <w:p w:rsidR="001C72A7" w:rsidRPr="001C72A7" w:rsidRDefault="001C72A7" w:rsidP="001C72A7">
      <w:pPr>
        <w:spacing w:line="360" w:lineRule="auto"/>
        <w:rPr>
          <w:rFonts w:eastAsia="Times New Roman" w:cs="Times New Roman"/>
          <w:sz w:val="22"/>
          <w:szCs w:val="22"/>
          <w:highlight w:val="white"/>
          <w:lang w:val="en"/>
        </w:rPr>
      </w:pPr>
      <w:r w:rsidRPr="001C72A7">
        <w:rPr>
          <w:rFonts w:eastAsia="Times New Roman" w:cs="Times New Roman"/>
          <w:b/>
          <w:sz w:val="22"/>
          <w:szCs w:val="22"/>
          <w:highlight w:val="white"/>
          <w:lang w:val="en"/>
        </w:rPr>
        <w:t>Prevalence of malnutrition</w:t>
      </w:r>
      <w:r w:rsidRPr="001C72A7">
        <w:rPr>
          <w:rFonts w:eastAsia="Times New Roman" w:cs="Times New Roman"/>
          <w:sz w:val="22"/>
          <w:szCs w:val="22"/>
          <w:highlight w:val="white"/>
          <w:lang w:val="en"/>
        </w:rPr>
        <w:t xml:space="preserve"> is captured in terms of two indicators wasting and overweight. Prevalence of wasting refers to the proportion of children under the age of 5 whose weight for height is more than two standard deviations below the median for the WHO Child Growth Standards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{"citationItems":[{"id":"ITEM-1","itemData":{"URL":"https://databank.worldbank.org/reports.aspx?source=sustainable-development-goals-(sdgs)","accessed":{"date-parts":[["2020","5","19"]]},"author":[{"dropping-particle":"","family":"World Bank","given":"","non-dropping-particle":"","parse-names":false,"suffix":""}],"container-title":"Databank","id":"ITEM-1","issued":{"date-parts":[["2019"]]},"title":"Sustainable Development Goals (SDGs) | DataBank","type":"webpage"},"uris":["http://www.mendeley.com/documents/?uuid=0c382878-818c-3e77-8db5-c27732c26694"]}],"mendeley":{"formattedCitation":"(World Bank, 2019)","plainTextFormattedCitation":"(World Bank, 2019)","previouslyFormattedCitation":"(World Bank, 2019)"},"properties":{"noteIndex":0},"schema":"https://github.com/citation-style-language/schema/raw/master/csl-citation.json"}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(World Bank, 2019)</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Prevalence of overweight is the percentage of children under age 5 whose weight for height is greater than 2 standard deviations above the median of the WHO Child Growth Standards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{"citationItems":[{"id":"ITEM-1","itemData":{"URL":"https://databank.worldbank.org/reports.aspx?source=sustainable-development-goals-(sdgs)","accessed":{"date-parts":[["2020","5","19"]]},"author":[{"dropping-particle":"","family":"World Bank","given":"","non-dropping-particle":"","parse-names":false,"suffix":""}],"container-title":"Databank","id":"ITEM-1","issued":{"date-parts":[["2019"]]},"title":"Sustainable Development Goals (SDGs) | DataBank","type":"webpage"},"uris":["http://www.mendeley.com/documents/?uuid=0c382878-818c-3e77-8db5-c27732c26694"]}],"mendeley":{"formattedCitation":"(World Bank, 2019)","plainTextFormattedCitation":"(World Bank, 2019)","previouslyFormattedCitation":"(World Bank, 2019)"},"properties":{"noteIndex":0},"schema":"https://github.com/citation-style-language/schema/raw/master/csl-citation.json"}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(World Bank, 2019)</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w:t>
      </w:r>
    </w:p>
    <w:p w:rsidR="001C72A7" w:rsidRPr="001C72A7" w:rsidRDefault="001C72A7" w:rsidP="001C72A7">
      <w:pPr>
        <w:spacing w:line="360" w:lineRule="auto"/>
        <w:rPr>
          <w:rFonts w:eastAsia="Times New Roman" w:cs="Times New Roman"/>
          <w:i/>
          <w:sz w:val="22"/>
          <w:szCs w:val="22"/>
          <w:lang w:val="en"/>
        </w:rPr>
      </w:pPr>
      <w:r w:rsidRPr="001C72A7">
        <w:rPr>
          <w:rFonts w:eastAsia="Times New Roman" w:cs="Times New Roman"/>
          <w:i/>
          <w:sz w:val="22"/>
          <w:szCs w:val="22"/>
          <w:lang w:val="en"/>
        </w:rPr>
        <w:t>Sources of the Data and Analysis Procedures</w:t>
      </w:r>
    </w:p>
    <w:p w:rsidR="001C72A7" w:rsidRPr="001C72A7" w:rsidRDefault="001C72A7" w:rsidP="001C72A7">
      <w:pPr>
        <w:pBdr>
          <w:top w:val="nil"/>
          <w:left w:val="nil"/>
          <w:bottom w:val="nil"/>
          <w:right w:val="nil"/>
          <w:between w:val="nil"/>
        </w:pBdr>
        <w:spacing w:line="360" w:lineRule="auto"/>
        <w:rPr>
          <w:rFonts w:eastAsia="Times New Roman" w:cs="Times New Roman"/>
          <w:sz w:val="22"/>
          <w:szCs w:val="22"/>
          <w:lang w:val="en"/>
        </w:rPr>
      </w:pPr>
      <w:r w:rsidRPr="001C72A7">
        <w:rPr>
          <w:rFonts w:eastAsia="Times New Roman" w:cs="Times New Roman"/>
          <w:b/>
          <w:sz w:val="22"/>
          <w:szCs w:val="22"/>
          <w:highlight w:val="white"/>
          <w:lang w:val="en"/>
        </w:rPr>
        <w:t xml:space="preserve">Sources of data. </w:t>
      </w:r>
      <w:r w:rsidRPr="001C72A7">
        <w:rPr>
          <w:rFonts w:eastAsia="Times New Roman" w:cs="Times New Roman"/>
          <w:sz w:val="22"/>
          <w:szCs w:val="22"/>
          <w:highlight w:val="white"/>
          <w:lang w:val="en"/>
        </w:rPr>
        <w:t xml:space="preserve">The study uses data from two primary sources: The World Bank Sustainable Development Goals, and </w:t>
      </w:r>
      <w:r w:rsidRPr="001C72A7">
        <w:rPr>
          <w:rFonts w:eastAsia="Times New Roman" w:cs="Times New Roman"/>
          <w:sz w:val="22"/>
          <w:szCs w:val="22"/>
          <w:lang w:val="en"/>
        </w:rPr>
        <w:t>the Joint Malnutrition Estimates</w:t>
      </w:r>
      <w:r w:rsidRPr="001C72A7">
        <w:rPr>
          <w:rFonts w:eastAsia="Times New Roman" w:cs="Times New Roman"/>
          <w:sz w:val="22"/>
          <w:szCs w:val="22"/>
          <w:highlight w:val="white"/>
          <w:lang w:val="en"/>
        </w:rPr>
        <w:t xml:space="preserve">. Specifically, data on prevalence of undernourishment and prevalence of stunting come from the World Bank Sustainable Development Goals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{"citationItems":[{"id":"ITEM-1","itemData":{"URL":"https://databank.worldbank.org/reports.aspx?source=sustainable-development-goals-(sdgs)","accessed":{"date-parts":[["2020","5","19"]]},"author":[{"dropping-particle":"","family":"World Bank","given":"","non-dropping-particle":"","parse-names":false,"suffix":""}],"container-title":"Databank","id":"ITEM-1","issued":{"date-parts":[["2019"]]},"title":"Sustainable Development Goals (SDGs) | DataBank","type":"webpage"},"uris":["http://www.mendeley.com/documents/?uuid=0c382878-818c-3e77-8db5-c27732c26694"]}],"mendeley":{"formattedCitation":"(World Bank, 2019)","plainTextFormattedCitation":"(World Bank, 2019)","previouslyFormattedCitation":"(World Bank, 2019)"},"properties":{"noteIndex":0},"schema":"https://github.com/citation-style-language/schema/raw/master/csl-citation.json"}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(World Bank, 2019)</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w:t>
      </w:r>
      <w:r w:rsidRPr="001C72A7">
        <w:rPr>
          <w:rFonts w:eastAsia="Times New Roman" w:cs="Times New Roman"/>
          <w:sz w:val="22"/>
          <w:szCs w:val="22"/>
          <w:lang w:val="en"/>
        </w:rPr>
        <w:t xml:space="preserve">These data are available from 2015 to 2019.  Data on child malnutrition are from the Joint Malnutrition Estimates </w:t>
      </w:r>
      <w:r w:rsidRPr="001C72A7">
        <w:rPr>
          <w:rFonts w:eastAsia="Times New Roman" w:cs="Times New Roman"/>
          <w:sz w:val="22"/>
          <w:szCs w:val="22"/>
          <w:lang w:val="en"/>
        </w:rPr>
        <w:fldChar w:fldCharType="begin" w:fldLock="1"/>
      </w:r>
      <w:r w:rsidRPr="001C72A7">
        <w:rPr>
          <w:rFonts w:eastAsia="Times New Roman" w:cs="Times New Roman"/>
          <w:sz w:val="22"/>
          <w:szCs w:val="22"/>
          <w:lang w:val="en"/>
        </w:rPr>
        <w:instrText>ADDIN CSL_CITATION {"citationItems":[{"id":"ITEM-1","itemData":{"URL":"https://data.unicef.org/topic/nutrition/malnutrition/","accessed":{"date-parts":[["2009","9","20"]]},"author":[{"dropping-particle":"","family":"UNICEF","given":"","non-dropping-particle":"","parse-names":false,"suffix":""},{"dropping-particle":"","family":"WHO","given":"","non-dropping-particle":"","parse-names":false,"suffix":""},{"dropping-particle":"","family":"World Bank","given":"","non-dropping-particle":"","parse-names":false,"suffix":""}],"container-title":"UNICEF Data: Monitoring the situation of children and women","id":"ITEM-1","issued":{"date-parts":[["2019"]]},"title":"Joint child malnutrition estimates (global and regional), April 2019 edition","type":"webpage"},"uris":["http://www.mendeley.com/documents/?uuid=273c2196-f364-401d-9ff3-015a9bf21d51"]}],"mendeley":{"formattedCitation":"(UNICEF, WHO and World Bank, 2019)","plainTextFormattedCitation":"(UNICEF, WHO and World Bank, 2019)","previouslyFormattedCitation":"(UNICEF, WHO and World Bank, 2019)"},"properties":{"noteIndex":0},"schema":"https://github.com/citation-style-language/schema/raw/master/csl-citation.json"}</w:instrText>
      </w:r>
      <w:r w:rsidRPr="001C72A7">
        <w:rPr>
          <w:rFonts w:eastAsia="Times New Roman" w:cs="Times New Roman"/>
          <w:sz w:val="22"/>
          <w:szCs w:val="22"/>
          <w:lang w:val="en"/>
        </w:rPr>
        <w:fldChar w:fldCharType="separate"/>
      </w:r>
      <w:r w:rsidRPr="001C72A7">
        <w:rPr>
          <w:rFonts w:eastAsia="Times New Roman" w:cs="Times New Roman"/>
          <w:noProof/>
          <w:sz w:val="22"/>
          <w:szCs w:val="22"/>
          <w:lang w:val="en"/>
        </w:rPr>
        <w:t>(UNICEF, WHO and World Bank, 2019)</w:t>
      </w:r>
      <w:r w:rsidRPr="001C72A7">
        <w:rPr>
          <w:rFonts w:eastAsia="Times New Roman" w:cs="Times New Roman"/>
          <w:sz w:val="22"/>
          <w:szCs w:val="22"/>
          <w:lang w:val="en"/>
        </w:rPr>
        <w:fldChar w:fldCharType="end"/>
      </w:r>
      <w:r w:rsidRPr="001C72A7">
        <w:rPr>
          <w:rFonts w:eastAsia="Times New Roman" w:cs="Times New Roman"/>
          <w:sz w:val="22"/>
          <w:szCs w:val="22"/>
          <w:lang w:val="en"/>
        </w:rPr>
        <w:t>, which evaluates</w:t>
      </w:r>
      <w:r w:rsidRPr="001C72A7">
        <w:rPr>
          <w:rFonts w:eastAsia="Times New Roman" w:cs="Times New Roman"/>
          <w:sz w:val="22"/>
          <w:szCs w:val="22"/>
          <w:highlight w:val="white"/>
          <w:lang w:val="en"/>
        </w:rPr>
        <w:t xml:space="preserve"> global child malnutrition annually. The estimates capture two aspects of malnutrition: overweight and wasting as well as data on stunting. </w:t>
      </w:r>
      <w:r w:rsidRPr="001C72A7">
        <w:rPr>
          <w:rFonts w:eastAsia="Times New Roman" w:cs="Times New Roman"/>
          <w:sz w:val="22"/>
          <w:szCs w:val="22"/>
          <w:lang w:val="en"/>
        </w:rPr>
        <w:t xml:space="preserve">The data provides estimates from 2015 to 2019 </w:t>
      </w:r>
      <w:r w:rsidRPr="001C72A7">
        <w:rPr>
          <w:rFonts w:eastAsia="Times New Roman" w:cs="Times New Roman"/>
          <w:sz w:val="22"/>
          <w:szCs w:val="22"/>
          <w:lang w:val="en"/>
        </w:rPr>
        <w:fldChar w:fldCharType="begin" w:fldLock="1"/>
      </w:r>
      <w:r w:rsidRPr="001C72A7">
        <w:rPr>
          <w:rFonts w:eastAsia="Times New Roman" w:cs="Times New Roman"/>
          <w:sz w:val="22"/>
          <w:szCs w:val="22"/>
          <w:lang w:val="en"/>
        </w:rPr>
        <w:instrText>ADDIN CSL_CITATION {"citationItems":[{"id":"ITEM-1","itemData":{"URL":"https://data.unicef.org/topic/nutrition/malnutrition/","accessed":{"date-parts":[["2020","6","13"]]},"id":"ITEM-1","issued":{"date-parts":[["0"]]},"title":"Malnutrition in Children - UNICEF DATA","type":"webpage"},"uris":["http://www.mendeley.com/documents/?uuid=3c7f3806-ae9d-3d67-9f0d-3febc6396644"]}],"mendeley":{"formattedCitation":"(&lt;i&gt;Malnutrition in Children - UNICEF DATA&lt;/i&gt;, no date)","plainTextFormattedCitation":"(Malnutrition in Children - UNICEF DATA, no date)","previouslyFormattedCitation":"(&lt;i&gt;Malnutrition in Children - UNICEF DATA&lt;/i&gt;, no date)"},"properties":{"noteIndex":0},"schema":"https://github.com/citation-style-language/schema/raw/master/csl-citation.json"}</w:instrText>
      </w:r>
      <w:r w:rsidRPr="001C72A7">
        <w:rPr>
          <w:rFonts w:eastAsia="Times New Roman" w:cs="Times New Roman"/>
          <w:sz w:val="22"/>
          <w:szCs w:val="22"/>
          <w:lang w:val="en"/>
        </w:rPr>
        <w:fldChar w:fldCharType="separate"/>
      </w:r>
      <w:r w:rsidRPr="001C72A7">
        <w:rPr>
          <w:rFonts w:eastAsia="Times New Roman" w:cs="Times New Roman"/>
          <w:noProof/>
          <w:sz w:val="22"/>
          <w:szCs w:val="22"/>
          <w:lang w:val="en"/>
        </w:rPr>
        <w:t>(</w:t>
      </w:r>
      <w:r w:rsidRPr="001C72A7">
        <w:rPr>
          <w:rFonts w:eastAsia="Times New Roman" w:cs="Times New Roman"/>
          <w:i/>
          <w:noProof/>
          <w:sz w:val="22"/>
          <w:szCs w:val="22"/>
          <w:lang w:val="en"/>
        </w:rPr>
        <w:t>Malnutrition in Children - UNICEF DATA</w:t>
      </w:r>
      <w:r w:rsidRPr="001C72A7">
        <w:rPr>
          <w:rFonts w:eastAsia="Times New Roman" w:cs="Times New Roman"/>
          <w:noProof/>
          <w:sz w:val="22"/>
          <w:szCs w:val="22"/>
          <w:lang w:val="en"/>
        </w:rPr>
        <w:t>, no date)</w:t>
      </w:r>
      <w:r w:rsidRPr="001C72A7">
        <w:rPr>
          <w:rFonts w:eastAsia="Times New Roman" w:cs="Times New Roman"/>
          <w:sz w:val="22"/>
          <w:szCs w:val="22"/>
          <w:lang w:val="en"/>
        </w:rPr>
        <w:fldChar w:fldCharType="end"/>
      </w:r>
      <w:r w:rsidRPr="001C72A7">
        <w:rPr>
          <w:rFonts w:eastAsia="Times New Roman" w:cs="Times New Roman"/>
          <w:sz w:val="22"/>
          <w:szCs w:val="22"/>
          <w:lang w:val="en"/>
        </w:rPr>
        <w:t>.</w:t>
      </w:r>
    </w:p>
    <w:p w:rsidR="001C72A7" w:rsidRPr="001C72A7" w:rsidRDefault="001C72A7" w:rsidP="001C72A7">
      <w:pPr>
        <w:pBdr>
          <w:bottom w:val="none" w:sz="0" w:space="1" w:color="000000"/>
        </w:pBdr>
        <w:spacing w:before="160" w:line="360" w:lineRule="auto"/>
        <w:ind w:right="160"/>
        <w:rPr>
          <w:rFonts w:eastAsia="Times New Roman" w:cs="Times New Roman"/>
          <w:b/>
          <w:sz w:val="22"/>
          <w:szCs w:val="22"/>
          <w:lang w:val="en"/>
        </w:rPr>
      </w:pPr>
      <w:r w:rsidRPr="001C72A7">
        <w:rPr>
          <w:rFonts w:eastAsia="Times New Roman" w:cs="Times New Roman"/>
          <w:sz w:val="22"/>
          <w:szCs w:val="22"/>
          <w:lang w:val="en"/>
        </w:rPr>
        <w:t>Given that SDGs were implemented in 2016, data used in this study cover the period to 2015 (baseline), 2016, and 2017. It is important to acknowledge that a number of countries in the region have not reported data on the indicators of interest during this timeframe; only countries reporting data on the three indicators under goal #2 Zero Hunger (2.1.1 Prevalence of undernourishment; 2.2.1 Prevalence of stunting; and 2.2.2 Prevalence of malnutrition - overweight and wasting) are considered for this assessment.</w:t>
      </w:r>
    </w:p>
    <w:p w:rsidR="001C72A7" w:rsidRPr="001C72A7" w:rsidRDefault="001C72A7" w:rsidP="001C72A7">
      <w:pPr>
        <w:spacing w:line="360" w:lineRule="auto"/>
        <w:rPr>
          <w:rFonts w:eastAsia="Times New Roman" w:cs="Times New Roman"/>
          <w:b/>
          <w:sz w:val="22"/>
          <w:szCs w:val="22"/>
          <w:lang w:val="en"/>
        </w:rPr>
      </w:pPr>
      <w:r w:rsidRPr="001C72A7">
        <w:rPr>
          <w:rFonts w:eastAsia="Times New Roman" w:cs="Times New Roman"/>
          <w:b/>
          <w:sz w:val="22"/>
          <w:szCs w:val="22"/>
          <w:highlight w:val="white"/>
          <w:lang w:val="en"/>
        </w:rPr>
        <w:t xml:space="preserve">Assessment Procedures. </w:t>
      </w:r>
      <w:r w:rsidRPr="001C72A7">
        <w:rPr>
          <w:rFonts w:eastAsia="Times New Roman" w:cs="Times New Roman"/>
          <w:sz w:val="22"/>
          <w:szCs w:val="22"/>
          <w:highlight w:val="white"/>
          <w:lang w:val="en"/>
        </w:rPr>
        <w:t xml:space="preserve">The data on the prevalence of undernourishment were extracted from the World Bank Data Bank. Four available options were available, these are presented in table three. The World Bank Data Bank does not provide information on the sub-regions of sub-Saharan Africa (SSA). Hence, we selected study countries and organized them under  sub-regions. Following this, we averaged estimates on a given indicator by the sub-region. As observed, </w:t>
      </w:r>
      <w:r w:rsidRPr="001C72A7">
        <w:rPr>
          <w:rFonts w:eastAsia="Times New Roman" w:cs="Times New Roman"/>
          <w:sz w:val="22"/>
          <w:szCs w:val="22"/>
          <w:lang w:val="en"/>
        </w:rPr>
        <w:t>UNICEF, WHO, and the World Bank Group jointly estimate</w:t>
      </w:r>
      <w:r w:rsidRPr="001C72A7">
        <w:rPr>
          <w:rFonts w:eastAsia="Times New Roman" w:cs="Times New Roman"/>
          <w:sz w:val="22"/>
          <w:szCs w:val="22"/>
          <w:highlight w:val="white"/>
          <w:lang w:val="en"/>
        </w:rPr>
        <w:t xml:space="preserve"> the prevalence of malnutrition annually.</w:t>
      </w:r>
      <w:r w:rsidRPr="001C72A7">
        <w:rPr>
          <w:rFonts w:eastAsia="Times New Roman" w:cs="Times New Roman"/>
          <w:sz w:val="22"/>
          <w:szCs w:val="22"/>
          <w:lang w:val="en"/>
        </w:rPr>
        <w:t xml:space="preserve"> These estimates include data at the following levels: world, regions, and country from 2015 to 2018. Relevant statistics were extracted from the database.</w:t>
      </w:r>
    </w:p>
    <w:p w:rsidR="001C72A7" w:rsidRPr="001C72A7" w:rsidRDefault="001C72A7" w:rsidP="001C72A7">
      <w:pPr>
        <w:spacing w:line="360" w:lineRule="auto"/>
        <w:rPr>
          <w:rFonts w:eastAsia="Times New Roman" w:cs="Times New Roman"/>
          <w:b/>
          <w:sz w:val="22"/>
          <w:szCs w:val="22"/>
          <w:highlight w:val="yellow"/>
          <w:lang w:val="en"/>
        </w:rPr>
      </w:pPr>
      <w:r w:rsidRPr="001C72A7">
        <w:rPr>
          <w:rFonts w:eastAsia="Times New Roman" w:cs="Times New Roman"/>
          <w:b/>
          <w:sz w:val="22"/>
          <w:szCs w:val="22"/>
          <w:lang w:val="en"/>
        </w:rPr>
        <w:t>Benchmarking Progress: Key Study Observations</w:t>
      </w:r>
      <w:r w:rsidRPr="00215F0B">
        <w:rPr>
          <w:rFonts w:eastAsia="Times New Roman" w:cs="Times New Roman"/>
          <w:b/>
          <w:sz w:val="22"/>
          <w:szCs w:val="22"/>
          <w:lang w:val="en"/>
        </w:rPr>
        <w:t xml:space="preserve"> </w:t>
      </w:r>
      <w:r w:rsidRPr="001C72A7">
        <w:rPr>
          <w:rFonts w:eastAsia="Times New Roman" w:cs="Times New Roman"/>
          <w:b/>
          <w:sz w:val="22"/>
          <w:szCs w:val="22"/>
          <w:lang w:val="en"/>
        </w:rPr>
        <w:t xml:space="preserve">Prevalence of Undernourishment </w:t>
      </w:r>
    </w:p>
    <w:p w:rsidR="001C72A7" w:rsidRPr="001C72A7" w:rsidRDefault="001C72A7" w:rsidP="001C72A7">
      <w:pPr>
        <w:spacing w:line="360" w:lineRule="auto"/>
        <w:rPr>
          <w:rFonts w:eastAsia="Times New Roman" w:cs="Times New Roman"/>
          <w:sz w:val="22"/>
          <w:szCs w:val="22"/>
          <w:lang w:val="en"/>
        </w:rPr>
      </w:pPr>
      <w:r w:rsidRPr="001C72A7">
        <w:rPr>
          <w:rFonts w:eastAsia="Times New Roman" w:cs="Times New Roman"/>
          <w:sz w:val="22"/>
          <w:szCs w:val="22"/>
          <w:lang w:val="en"/>
        </w:rPr>
        <w:t>The data on undernourishment are not yet available for the period of 2018. Available data on the prevalence of undernourishment (% of population) covers the period 2015-2017. The data indicate a slight increase in the prevalence of undernourishment rates at both the world and regional levels (see Table 3). Globally, the prevalence of undernourishment was 10.60% in 2015, and increased to 10.80% in 2017. The prevalence of undernourishment in sub-Saharan Africa was 20.08% in 2015, which is two times the global rate.</w:t>
      </w:r>
    </w:p>
    <w:p w:rsidR="001C72A7" w:rsidRPr="001C72A7" w:rsidRDefault="001C72A7" w:rsidP="001C72A7">
      <w:pPr>
        <w:widowControl w:val="0"/>
        <w:spacing w:line="240" w:lineRule="auto"/>
        <w:rPr>
          <w:rFonts w:eastAsia="Times New Roman" w:cs="Times New Roman"/>
          <w:sz w:val="22"/>
          <w:szCs w:val="22"/>
          <w:lang w:val="en"/>
        </w:rPr>
      </w:pPr>
    </w:p>
    <w:p w:rsidR="00215F0B" w:rsidRPr="00215F0B" w:rsidRDefault="00215F0B" w:rsidP="00215F0B">
      <w:pPr>
        <w:widowControl w:val="0"/>
        <w:spacing w:line="240" w:lineRule="auto"/>
        <w:rPr>
          <w:rFonts w:eastAsia="Times New Roman" w:cs="Times New Roman"/>
          <w:b/>
          <w:sz w:val="19"/>
          <w:szCs w:val="19"/>
          <w:lang w:val="en"/>
        </w:rPr>
      </w:pPr>
      <w:r w:rsidRPr="00215F0B">
        <w:rPr>
          <w:rFonts w:eastAsia="Times New Roman" w:cs="Times New Roman"/>
          <w:b/>
          <w:sz w:val="19"/>
          <w:szCs w:val="19"/>
          <w:lang w:val="en"/>
        </w:rPr>
        <w:t>Table 3. Prevalence of Undernourishment  (% of Population)</w:t>
      </w:r>
    </w:p>
    <w:p w:rsidR="00215F0B" w:rsidRPr="00215F0B" w:rsidRDefault="00215F0B" w:rsidP="00215F0B">
      <w:pPr>
        <w:widowControl w:val="0"/>
        <w:spacing w:line="240" w:lineRule="auto"/>
        <w:rPr>
          <w:rFonts w:eastAsia="Times New Roman" w:cs="Times New Roman"/>
          <w:sz w:val="19"/>
          <w:szCs w:val="19"/>
          <w:lang w:val="en"/>
        </w:rPr>
      </w:pPr>
    </w:p>
    <w:tbl>
      <w:tblPr>
        <w:tblW w:w="5300"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Look w:val="0600" w:firstRow="0" w:lastRow="0" w:firstColumn="0" w:lastColumn="0" w:noHBand="1" w:noVBand="1"/>
      </w:tblPr>
      <w:tblGrid>
        <w:gridCol w:w="1610"/>
        <w:gridCol w:w="1170"/>
        <w:gridCol w:w="1440"/>
        <w:gridCol w:w="1080"/>
      </w:tblGrid>
      <w:tr w:rsidR="00215F0B" w:rsidRPr="00215F0B" w:rsidTr="00215F0B">
        <w:tc>
          <w:tcPr>
            <w:tcW w:w="1610" w:type="dxa"/>
            <w:shd w:val="clear" w:color="auto" w:fill="auto"/>
            <w:tcMar>
              <w:top w:w="100" w:type="dxa"/>
              <w:left w:w="100" w:type="dxa"/>
              <w:bottom w:w="100" w:type="dxa"/>
              <w:right w:w="100" w:type="dxa"/>
            </w:tcMar>
          </w:tcPr>
          <w:p w:rsidR="00215F0B" w:rsidRPr="00215F0B" w:rsidRDefault="00215F0B" w:rsidP="00215F0B">
            <w:pPr>
              <w:widowControl w:val="0"/>
              <w:pBdr>
                <w:top w:val="nil"/>
                <w:left w:val="nil"/>
                <w:bottom w:val="nil"/>
                <w:right w:val="nil"/>
                <w:between w:val="nil"/>
              </w:pBdr>
              <w:spacing w:line="240" w:lineRule="auto"/>
              <w:jc w:val="center"/>
              <w:rPr>
                <w:rFonts w:eastAsia="Times New Roman" w:cs="Times New Roman"/>
                <w:b/>
                <w:bCs/>
                <w:sz w:val="19"/>
                <w:szCs w:val="19"/>
                <w:lang w:val="en"/>
              </w:rPr>
            </w:pPr>
            <w:r w:rsidRPr="00215F0B">
              <w:rPr>
                <w:rFonts w:eastAsia="Times New Roman" w:cs="Times New Roman"/>
                <w:b/>
                <w:bCs/>
                <w:sz w:val="19"/>
                <w:szCs w:val="19"/>
                <w:lang w:val="en"/>
              </w:rPr>
              <w:t>Level</w:t>
            </w:r>
          </w:p>
        </w:tc>
        <w:tc>
          <w:tcPr>
            <w:tcW w:w="1170" w:type="dxa"/>
            <w:shd w:val="clear" w:color="auto" w:fill="auto"/>
            <w:tcMar>
              <w:top w:w="100" w:type="dxa"/>
              <w:left w:w="100" w:type="dxa"/>
              <w:bottom w:w="100" w:type="dxa"/>
              <w:right w:w="100" w:type="dxa"/>
            </w:tcMar>
          </w:tcPr>
          <w:p w:rsidR="00215F0B" w:rsidRPr="00215F0B" w:rsidRDefault="00215F0B" w:rsidP="00215F0B">
            <w:pPr>
              <w:widowControl w:val="0"/>
              <w:pBdr>
                <w:top w:val="nil"/>
                <w:left w:val="nil"/>
                <w:bottom w:val="nil"/>
                <w:right w:val="nil"/>
                <w:between w:val="nil"/>
              </w:pBdr>
              <w:spacing w:line="240" w:lineRule="auto"/>
              <w:rPr>
                <w:rFonts w:eastAsia="Times New Roman" w:cs="Times New Roman"/>
                <w:sz w:val="19"/>
                <w:szCs w:val="19"/>
                <w:lang w:val="en"/>
              </w:rPr>
            </w:pPr>
            <w:r w:rsidRPr="00215F0B">
              <w:rPr>
                <w:rFonts w:eastAsia="Times New Roman" w:cs="Times New Roman"/>
                <w:sz w:val="19"/>
                <w:szCs w:val="19"/>
                <w:lang w:val="en"/>
              </w:rPr>
              <w:t>2015</w:t>
            </w:r>
          </w:p>
        </w:tc>
        <w:tc>
          <w:tcPr>
            <w:tcW w:w="1440" w:type="dxa"/>
          </w:tcPr>
          <w:p w:rsidR="00215F0B" w:rsidRPr="00215F0B" w:rsidRDefault="00215F0B" w:rsidP="00215F0B">
            <w:pPr>
              <w:widowControl w:val="0"/>
              <w:pBdr>
                <w:top w:val="nil"/>
                <w:left w:val="nil"/>
                <w:bottom w:val="nil"/>
                <w:right w:val="nil"/>
                <w:between w:val="nil"/>
              </w:pBdr>
              <w:spacing w:line="240" w:lineRule="auto"/>
              <w:rPr>
                <w:rFonts w:eastAsia="Times New Roman" w:cs="Times New Roman"/>
                <w:sz w:val="19"/>
                <w:szCs w:val="19"/>
                <w:lang w:val="en"/>
              </w:rPr>
            </w:pPr>
            <w:r w:rsidRPr="00215F0B">
              <w:rPr>
                <w:rFonts w:eastAsia="Times New Roman" w:cs="Times New Roman"/>
                <w:sz w:val="19"/>
                <w:szCs w:val="19"/>
                <w:lang w:val="en"/>
              </w:rPr>
              <w:t>2016</w:t>
            </w:r>
          </w:p>
        </w:tc>
        <w:tc>
          <w:tcPr>
            <w:tcW w:w="1080" w:type="dxa"/>
          </w:tcPr>
          <w:p w:rsidR="00215F0B" w:rsidRPr="00215F0B" w:rsidRDefault="00215F0B" w:rsidP="00215F0B">
            <w:pPr>
              <w:widowControl w:val="0"/>
              <w:pBdr>
                <w:top w:val="nil"/>
                <w:left w:val="nil"/>
                <w:bottom w:val="nil"/>
                <w:right w:val="nil"/>
                <w:between w:val="nil"/>
              </w:pBdr>
              <w:spacing w:line="240" w:lineRule="auto"/>
              <w:rPr>
                <w:rFonts w:eastAsia="Times New Roman" w:cs="Times New Roman"/>
                <w:sz w:val="19"/>
                <w:szCs w:val="19"/>
                <w:lang w:val="en"/>
              </w:rPr>
            </w:pPr>
            <w:r w:rsidRPr="00215F0B">
              <w:rPr>
                <w:rFonts w:eastAsia="Times New Roman" w:cs="Times New Roman"/>
                <w:sz w:val="19"/>
                <w:szCs w:val="19"/>
                <w:lang w:val="en"/>
              </w:rPr>
              <w:t>2017</w:t>
            </w:r>
          </w:p>
        </w:tc>
      </w:tr>
      <w:tr w:rsidR="00215F0B" w:rsidRPr="00215F0B" w:rsidTr="00215F0B">
        <w:tc>
          <w:tcPr>
            <w:tcW w:w="1610" w:type="dxa"/>
            <w:shd w:val="clear" w:color="auto" w:fill="auto"/>
            <w:tcMar>
              <w:top w:w="100" w:type="dxa"/>
              <w:left w:w="100" w:type="dxa"/>
              <w:bottom w:w="100" w:type="dxa"/>
              <w:right w:w="100" w:type="dxa"/>
            </w:tcMar>
          </w:tcPr>
          <w:p w:rsidR="00215F0B" w:rsidRPr="00215F0B" w:rsidRDefault="00215F0B" w:rsidP="00215F0B">
            <w:pPr>
              <w:widowControl w:val="0"/>
              <w:pBdr>
                <w:top w:val="nil"/>
                <w:left w:val="nil"/>
                <w:bottom w:val="nil"/>
                <w:right w:val="nil"/>
                <w:between w:val="nil"/>
              </w:pBdr>
              <w:spacing w:line="240" w:lineRule="auto"/>
              <w:rPr>
                <w:rFonts w:eastAsia="Times New Roman" w:cs="Times New Roman"/>
                <w:sz w:val="19"/>
                <w:szCs w:val="19"/>
                <w:lang w:val="en"/>
              </w:rPr>
            </w:pPr>
            <w:r w:rsidRPr="00215F0B">
              <w:rPr>
                <w:rFonts w:eastAsia="Times New Roman" w:cs="Times New Roman"/>
                <w:sz w:val="19"/>
                <w:szCs w:val="19"/>
                <w:lang w:val="en"/>
              </w:rPr>
              <w:t>World Rate</w:t>
            </w:r>
          </w:p>
        </w:tc>
        <w:tc>
          <w:tcPr>
            <w:tcW w:w="1170" w:type="dxa"/>
            <w:shd w:val="clear" w:color="auto" w:fill="auto"/>
            <w:tcMar>
              <w:top w:w="100" w:type="dxa"/>
              <w:left w:w="100" w:type="dxa"/>
              <w:bottom w:w="100" w:type="dxa"/>
              <w:right w:w="100" w:type="dxa"/>
            </w:tcMar>
          </w:tcPr>
          <w:p w:rsidR="00215F0B" w:rsidRPr="00215F0B" w:rsidRDefault="00215F0B" w:rsidP="00215F0B">
            <w:pPr>
              <w:widowControl w:val="0"/>
              <w:pBdr>
                <w:top w:val="nil"/>
                <w:left w:val="nil"/>
                <w:bottom w:val="nil"/>
                <w:right w:val="nil"/>
                <w:between w:val="nil"/>
              </w:pBdr>
              <w:spacing w:line="240" w:lineRule="auto"/>
              <w:rPr>
                <w:rFonts w:eastAsia="Times New Roman" w:cs="Times New Roman"/>
                <w:sz w:val="19"/>
                <w:szCs w:val="19"/>
                <w:lang w:val="en"/>
              </w:rPr>
            </w:pPr>
            <w:r w:rsidRPr="00215F0B">
              <w:rPr>
                <w:rFonts w:eastAsia="Times New Roman" w:cs="Times New Roman"/>
                <w:sz w:val="19"/>
                <w:szCs w:val="19"/>
                <w:lang w:val="en"/>
              </w:rPr>
              <w:t>10.60</w:t>
            </w:r>
          </w:p>
        </w:tc>
        <w:tc>
          <w:tcPr>
            <w:tcW w:w="1440" w:type="dxa"/>
          </w:tcPr>
          <w:p w:rsidR="00215F0B" w:rsidRPr="00215F0B" w:rsidRDefault="00215F0B" w:rsidP="00215F0B">
            <w:pPr>
              <w:widowControl w:val="0"/>
              <w:pBdr>
                <w:top w:val="nil"/>
                <w:left w:val="nil"/>
                <w:bottom w:val="nil"/>
                <w:right w:val="nil"/>
                <w:between w:val="nil"/>
              </w:pBdr>
              <w:spacing w:line="240" w:lineRule="auto"/>
              <w:rPr>
                <w:rFonts w:eastAsia="Times New Roman" w:cs="Times New Roman"/>
                <w:sz w:val="19"/>
                <w:szCs w:val="19"/>
                <w:lang w:val="en"/>
              </w:rPr>
            </w:pPr>
            <w:r w:rsidRPr="00215F0B">
              <w:rPr>
                <w:rFonts w:eastAsia="Times New Roman" w:cs="Times New Roman"/>
                <w:sz w:val="19"/>
                <w:szCs w:val="19"/>
                <w:lang w:val="en"/>
              </w:rPr>
              <w:t>10.70</w:t>
            </w:r>
          </w:p>
        </w:tc>
        <w:tc>
          <w:tcPr>
            <w:tcW w:w="1080" w:type="dxa"/>
          </w:tcPr>
          <w:p w:rsidR="00215F0B" w:rsidRPr="00215F0B" w:rsidRDefault="00215F0B" w:rsidP="00215F0B">
            <w:pPr>
              <w:widowControl w:val="0"/>
              <w:pBdr>
                <w:top w:val="nil"/>
                <w:left w:val="nil"/>
                <w:bottom w:val="nil"/>
                <w:right w:val="nil"/>
                <w:between w:val="nil"/>
              </w:pBdr>
              <w:spacing w:line="240" w:lineRule="auto"/>
              <w:rPr>
                <w:rFonts w:eastAsia="Times New Roman" w:cs="Times New Roman"/>
                <w:sz w:val="19"/>
                <w:szCs w:val="19"/>
                <w:lang w:val="en"/>
              </w:rPr>
            </w:pPr>
            <w:r w:rsidRPr="00215F0B">
              <w:rPr>
                <w:rFonts w:eastAsia="Times New Roman" w:cs="Times New Roman"/>
                <w:sz w:val="19"/>
                <w:szCs w:val="19"/>
                <w:lang w:val="en"/>
              </w:rPr>
              <w:t>10.80</w:t>
            </w:r>
          </w:p>
        </w:tc>
      </w:tr>
      <w:tr w:rsidR="00215F0B" w:rsidRPr="00215F0B" w:rsidTr="00215F0B">
        <w:tc>
          <w:tcPr>
            <w:tcW w:w="1610" w:type="dxa"/>
            <w:shd w:val="clear" w:color="auto" w:fill="auto"/>
            <w:tcMar>
              <w:top w:w="100" w:type="dxa"/>
              <w:left w:w="100" w:type="dxa"/>
              <w:bottom w:w="100" w:type="dxa"/>
              <w:right w:w="100" w:type="dxa"/>
            </w:tcMar>
          </w:tcPr>
          <w:p w:rsidR="00215F0B" w:rsidRPr="00215F0B" w:rsidRDefault="00215F0B" w:rsidP="00215F0B">
            <w:pPr>
              <w:widowControl w:val="0"/>
              <w:pBdr>
                <w:top w:val="nil"/>
                <w:left w:val="nil"/>
                <w:bottom w:val="nil"/>
                <w:right w:val="nil"/>
                <w:between w:val="nil"/>
              </w:pBdr>
              <w:spacing w:line="240" w:lineRule="auto"/>
              <w:rPr>
                <w:rFonts w:eastAsia="Times New Roman" w:cs="Times New Roman"/>
                <w:sz w:val="19"/>
                <w:szCs w:val="19"/>
                <w:lang w:val="en"/>
              </w:rPr>
            </w:pPr>
            <w:r w:rsidRPr="00215F0B">
              <w:rPr>
                <w:rFonts w:eastAsia="Times New Roman" w:cs="Times New Roman"/>
                <w:sz w:val="19"/>
                <w:szCs w:val="19"/>
                <w:lang w:val="en"/>
              </w:rPr>
              <w:t>Regional (SSA)</w:t>
            </w:r>
          </w:p>
        </w:tc>
        <w:tc>
          <w:tcPr>
            <w:tcW w:w="1170" w:type="dxa"/>
            <w:shd w:val="clear" w:color="auto" w:fill="auto"/>
            <w:tcMar>
              <w:top w:w="100" w:type="dxa"/>
              <w:left w:w="100" w:type="dxa"/>
              <w:bottom w:w="100" w:type="dxa"/>
              <w:right w:w="100" w:type="dxa"/>
            </w:tcMar>
          </w:tcPr>
          <w:p w:rsidR="00215F0B" w:rsidRPr="00215F0B" w:rsidRDefault="00215F0B" w:rsidP="00215F0B">
            <w:pPr>
              <w:widowControl w:val="0"/>
              <w:pBdr>
                <w:top w:val="nil"/>
                <w:left w:val="nil"/>
                <w:bottom w:val="nil"/>
                <w:right w:val="nil"/>
                <w:between w:val="nil"/>
              </w:pBdr>
              <w:spacing w:line="240" w:lineRule="auto"/>
              <w:rPr>
                <w:rFonts w:eastAsia="Times New Roman" w:cs="Times New Roman"/>
                <w:sz w:val="19"/>
                <w:szCs w:val="19"/>
                <w:lang w:val="en"/>
              </w:rPr>
            </w:pPr>
            <w:r w:rsidRPr="00215F0B">
              <w:rPr>
                <w:rFonts w:eastAsia="Times New Roman" w:cs="Times New Roman"/>
                <w:sz w:val="19"/>
                <w:szCs w:val="19"/>
                <w:lang w:val="en"/>
              </w:rPr>
              <w:t>20.08</w:t>
            </w:r>
          </w:p>
        </w:tc>
        <w:tc>
          <w:tcPr>
            <w:tcW w:w="1440" w:type="dxa"/>
          </w:tcPr>
          <w:p w:rsidR="00215F0B" w:rsidRPr="00215F0B" w:rsidRDefault="00215F0B" w:rsidP="00215F0B">
            <w:pPr>
              <w:widowControl w:val="0"/>
              <w:pBdr>
                <w:top w:val="nil"/>
                <w:left w:val="nil"/>
                <w:bottom w:val="nil"/>
                <w:right w:val="nil"/>
                <w:between w:val="nil"/>
              </w:pBdr>
              <w:spacing w:line="240" w:lineRule="auto"/>
              <w:rPr>
                <w:rFonts w:eastAsia="Times New Roman" w:cs="Times New Roman"/>
                <w:sz w:val="19"/>
                <w:szCs w:val="19"/>
                <w:lang w:val="en"/>
              </w:rPr>
            </w:pPr>
            <w:r w:rsidRPr="00215F0B">
              <w:rPr>
                <w:rFonts w:eastAsia="Times New Roman" w:cs="Times New Roman"/>
                <w:sz w:val="19"/>
                <w:szCs w:val="19"/>
                <w:lang w:val="en"/>
              </w:rPr>
              <w:t>20.71</w:t>
            </w:r>
          </w:p>
        </w:tc>
        <w:tc>
          <w:tcPr>
            <w:tcW w:w="1080" w:type="dxa"/>
          </w:tcPr>
          <w:p w:rsidR="00215F0B" w:rsidRPr="00215F0B" w:rsidRDefault="00215F0B" w:rsidP="00215F0B">
            <w:pPr>
              <w:widowControl w:val="0"/>
              <w:pBdr>
                <w:top w:val="nil"/>
                <w:left w:val="nil"/>
                <w:bottom w:val="nil"/>
                <w:right w:val="nil"/>
                <w:between w:val="nil"/>
              </w:pBdr>
              <w:spacing w:line="240" w:lineRule="auto"/>
              <w:rPr>
                <w:rFonts w:eastAsia="Times New Roman" w:cs="Times New Roman"/>
                <w:sz w:val="19"/>
                <w:szCs w:val="19"/>
                <w:lang w:val="en"/>
              </w:rPr>
            </w:pPr>
            <w:r w:rsidRPr="00215F0B">
              <w:rPr>
                <w:rFonts w:eastAsia="Times New Roman" w:cs="Times New Roman"/>
                <w:sz w:val="19"/>
                <w:szCs w:val="19"/>
                <w:lang w:val="en"/>
              </w:rPr>
              <w:t>21.35</w:t>
            </w:r>
          </w:p>
        </w:tc>
      </w:tr>
      <w:tr w:rsidR="00215F0B" w:rsidRPr="00215F0B" w:rsidTr="00215F0B">
        <w:tc>
          <w:tcPr>
            <w:tcW w:w="1610" w:type="dxa"/>
            <w:shd w:val="clear" w:color="auto" w:fill="auto"/>
            <w:tcMar>
              <w:top w:w="100" w:type="dxa"/>
              <w:left w:w="100" w:type="dxa"/>
              <w:bottom w:w="100" w:type="dxa"/>
              <w:right w:w="100" w:type="dxa"/>
            </w:tcMar>
          </w:tcPr>
          <w:p w:rsidR="00215F0B" w:rsidRPr="00215F0B" w:rsidRDefault="00215F0B" w:rsidP="00215F0B">
            <w:pPr>
              <w:widowControl w:val="0"/>
              <w:pBdr>
                <w:top w:val="nil"/>
                <w:left w:val="nil"/>
                <w:bottom w:val="nil"/>
                <w:right w:val="nil"/>
                <w:between w:val="nil"/>
              </w:pBdr>
              <w:spacing w:line="240" w:lineRule="auto"/>
              <w:rPr>
                <w:rFonts w:eastAsia="Times New Roman" w:cs="Times New Roman"/>
                <w:sz w:val="19"/>
                <w:szCs w:val="19"/>
                <w:lang w:val="en"/>
              </w:rPr>
            </w:pPr>
            <w:r w:rsidRPr="00215F0B">
              <w:rPr>
                <w:rFonts w:eastAsia="Times New Roman" w:cs="Times New Roman"/>
                <w:sz w:val="19"/>
                <w:szCs w:val="19"/>
                <w:lang w:val="en"/>
              </w:rPr>
              <w:t>Eastern Africa</w:t>
            </w:r>
          </w:p>
        </w:tc>
        <w:tc>
          <w:tcPr>
            <w:tcW w:w="1170" w:type="dxa"/>
            <w:shd w:val="clear" w:color="auto" w:fill="auto"/>
            <w:tcMar>
              <w:top w:w="100" w:type="dxa"/>
              <w:left w:w="100" w:type="dxa"/>
              <w:bottom w:w="100" w:type="dxa"/>
              <w:right w:w="100" w:type="dxa"/>
            </w:tcMar>
          </w:tcPr>
          <w:p w:rsidR="00215F0B" w:rsidRPr="00215F0B" w:rsidRDefault="00215F0B" w:rsidP="00215F0B">
            <w:pPr>
              <w:widowControl w:val="0"/>
              <w:pBdr>
                <w:top w:val="nil"/>
                <w:left w:val="nil"/>
                <w:bottom w:val="nil"/>
                <w:right w:val="nil"/>
                <w:between w:val="nil"/>
              </w:pBdr>
              <w:spacing w:line="240" w:lineRule="auto"/>
              <w:rPr>
                <w:rFonts w:eastAsia="Times New Roman" w:cs="Times New Roman"/>
                <w:sz w:val="19"/>
                <w:szCs w:val="19"/>
                <w:lang w:val="en"/>
              </w:rPr>
            </w:pPr>
            <w:r w:rsidRPr="00215F0B">
              <w:rPr>
                <w:rFonts w:eastAsia="Times New Roman" w:cs="Times New Roman"/>
                <w:sz w:val="19"/>
                <w:szCs w:val="19"/>
                <w:lang w:val="en"/>
              </w:rPr>
              <w:t>29.74</w:t>
            </w:r>
          </w:p>
        </w:tc>
        <w:tc>
          <w:tcPr>
            <w:tcW w:w="1440" w:type="dxa"/>
          </w:tcPr>
          <w:p w:rsidR="00215F0B" w:rsidRPr="00215F0B" w:rsidRDefault="00215F0B" w:rsidP="00215F0B">
            <w:pPr>
              <w:widowControl w:val="0"/>
              <w:pBdr>
                <w:top w:val="nil"/>
                <w:left w:val="nil"/>
                <w:bottom w:val="nil"/>
                <w:right w:val="nil"/>
                <w:between w:val="nil"/>
              </w:pBdr>
              <w:spacing w:line="240" w:lineRule="auto"/>
              <w:rPr>
                <w:rFonts w:eastAsia="Times New Roman" w:cs="Times New Roman"/>
                <w:sz w:val="19"/>
                <w:szCs w:val="19"/>
                <w:lang w:val="en"/>
              </w:rPr>
            </w:pPr>
            <w:r w:rsidRPr="00215F0B">
              <w:rPr>
                <w:rFonts w:eastAsia="Times New Roman" w:cs="Times New Roman"/>
                <w:sz w:val="19"/>
                <w:szCs w:val="19"/>
                <w:lang w:val="en"/>
              </w:rPr>
              <w:t>30.43</w:t>
            </w:r>
          </w:p>
        </w:tc>
        <w:tc>
          <w:tcPr>
            <w:tcW w:w="1080" w:type="dxa"/>
          </w:tcPr>
          <w:p w:rsidR="00215F0B" w:rsidRPr="00215F0B" w:rsidRDefault="00215F0B" w:rsidP="00215F0B">
            <w:pPr>
              <w:widowControl w:val="0"/>
              <w:pBdr>
                <w:top w:val="nil"/>
                <w:left w:val="nil"/>
                <w:bottom w:val="nil"/>
                <w:right w:val="nil"/>
                <w:between w:val="nil"/>
              </w:pBdr>
              <w:spacing w:line="240" w:lineRule="auto"/>
              <w:rPr>
                <w:rFonts w:eastAsia="Times New Roman" w:cs="Times New Roman"/>
                <w:sz w:val="19"/>
                <w:szCs w:val="19"/>
                <w:lang w:val="en"/>
              </w:rPr>
            </w:pPr>
            <w:r w:rsidRPr="00215F0B">
              <w:rPr>
                <w:rFonts w:eastAsia="Times New Roman" w:cs="Times New Roman"/>
                <w:sz w:val="19"/>
                <w:szCs w:val="19"/>
                <w:lang w:val="en"/>
              </w:rPr>
              <w:t>30.98</w:t>
            </w:r>
          </w:p>
        </w:tc>
      </w:tr>
      <w:tr w:rsidR="00215F0B" w:rsidRPr="00215F0B" w:rsidTr="00215F0B">
        <w:tc>
          <w:tcPr>
            <w:tcW w:w="161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Middle  Africa</w:t>
            </w:r>
          </w:p>
        </w:tc>
        <w:tc>
          <w:tcPr>
            <w:tcW w:w="117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26.01</w:t>
            </w:r>
          </w:p>
        </w:tc>
        <w:tc>
          <w:tcPr>
            <w:tcW w:w="1440" w:type="dxa"/>
          </w:tcPr>
          <w:p w:rsidR="00215F0B" w:rsidRPr="00215F0B" w:rsidRDefault="00215F0B" w:rsidP="00215F0B">
            <w:pPr>
              <w:spacing w:line="240" w:lineRule="auto"/>
              <w:rPr>
                <w:rFonts w:eastAsia="Times New Roman" w:cs="Times New Roman"/>
                <w:sz w:val="19"/>
                <w:szCs w:val="19"/>
                <w:lang w:val="en"/>
              </w:rPr>
            </w:pPr>
            <w:r w:rsidRPr="00215F0B">
              <w:rPr>
                <w:rFonts w:eastAsia="Times New Roman" w:cs="Times New Roman"/>
                <w:sz w:val="19"/>
                <w:szCs w:val="19"/>
                <w:lang w:val="en"/>
              </w:rPr>
              <w:t>26.56</w:t>
            </w:r>
          </w:p>
        </w:tc>
        <w:tc>
          <w:tcPr>
            <w:tcW w:w="1080" w:type="dxa"/>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27.11</w:t>
            </w:r>
          </w:p>
        </w:tc>
      </w:tr>
      <w:tr w:rsidR="00215F0B" w:rsidRPr="00215F0B" w:rsidTr="00215F0B">
        <w:trPr>
          <w:trHeight w:val="400"/>
        </w:trPr>
        <w:tc>
          <w:tcPr>
            <w:tcW w:w="1610" w:type="dxa"/>
            <w:shd w:val="clear" w:color="auto" w:fill="auto"/>
            <w:tcMar>
              <w:top w:w="100" w:type="dxa"/>
              <w:left w:w="100" w:type="dxa"/>
              <w:bottom w:w="100" w:type="dxa"/>
              <w:right w:w="100" w:type="dxa"/>
            </w:tcMar>
          </w:tcPr>
          <w:p w:rsidR="00215F0B" w:rsidRPr="00215F0B" w:rsidRDefault="00215F0B" w:rsidP="00215F0B">
            <w:pPr>
              <w:widowControl w:val="0"/>
              <w:pBdr>
                <w:top w:val="nil"/>
                <w:left w:val="nil"/>
                <w:bottom w:val="nil"/>
                <w:right w:val="nil"/>
                <w:between w:val="nil"/>
              </w:pBdr>
              <w:spacing w:line="240" w:lineRule="auto"/>
              <w:rPr>
                <w:rFonts w:eastAsia="Times New Roman" w:cs="Times New Roman"/>
                <w:sz w:val="19"/>
                <w:szCs w:val="19"/>
                <w:lang w:val="en"/>
              </w:rPr>
            </w:pPr>
            <w:r w:rsidRPr="00215F0B">
              <w:rPr>
                <w:rFonts w:eastAsia="Times New Roman" w:cs="Times New Roman"/>
                <w:sz w:val="19"/>
                <w:szCs w:val="19"/>
                <w:lang w:val="en"/>
              </w:rPr>
              <w:t>Southern Africa</w:t>
            </w:r>
          </w:p>
        </w:tc>
        <w:tc>
          <w:tcPr>
            <w:tcW w:w="1170" w:type="dxa"/>
            <w:shd w:val="clear" w:color="auto" w:fill="auto"/>
            <w:tcMar>
              <w:top w:w="100" w:type="dxa"/>
              <w:left w:w="100" w:type="dxa"/>
              <w:bottom w:w="100" w:type="dxa"/>
              <w:right w:w="100" w:type="dxa"/>
            </w:tcMar>
            <w:vAlign w:val="bottom"/>
          </w:tcPr>
          <w:p w:rsidR="00215F0B" w:rsidRPr="00215F0B" w:rsidRDefault="00215F0B" w:rsidP="00215F0B">
            <w:pPr>
              <w:widowControl w:val="0"/>
              <w:pBdr>
                <w:top w:val="nil"/>
                <w:left w:val="nil"/>
                <w:bottom w:val="nil"/>
                <w:right w:val="nil"/>
                <w:between w:val="nil"/>
              </w:pBdr>
              <w:spacing w:line="240" w:lineRule="auto"/>
              <w:rPr>
                <w:rFonts w:eastAsia="Times New Roman" w:cs="Times New Roman"/>
                <w:sz w:val="19"/>
                <w:szCs w:val="19"/>
                <w:lang w:val="en"/>
              </w:rPr>
            </w:pPr>
            <w:r w:rsidRPr="00215F0B">
              <w:rPr>
                <w:rFonts w:eastAsia="Times New Roman" w:cs="Times New Roman"/>
                <w:sz w:val="19"/>
                <w:szCs w:val="19"/>
                <w:lang w:val="en"/>
              </w:rPr>
              <w:t>19.42</w:t>
            </w:r>
          </w:p>
        </w:tc>
        <w:tc>
          <w:tcPr>
            <w:tcW w:w="1440" w:type="dxa"/>
            <w:vAlign w:val="bottom"/>
          </w:tcPr>
          <w:p w:rsidR="00215F0B" w:rsidRPr="00215F0B" w:rsidRDefault="00215F0B" w:rsidP="00215F0B">
            <w:pPr>
              <w:widowControl w:val="0"/>
              <w:pBdr>
                <w:top w:val="nil"/>
                <w:left w:val="nil"/>
                <w:bottom w:val="nil"/>
                <w:right w:val="nil"/>
                <w:between w:val="nil"/>
              </w:pBdr>
              <w:spacing w:line="240" w:lineRule="auto"/>
              <w:rPr>
                <w:rFonts w:eastAsia="Times New Roman" w:cs="Times New Roman"/>
                <w:sz w:val="19"/>
                <w:szCs w:val="19"/>
                <w:lang w:val="en"/>
              </w:rPr>
            </w:pPr>
            <w:r w:rsidRPr="00215F0B">
              <w:rPr>
                <w:rFonts w:eastAsia="Times New Roman" w:cs="Times New Roman"/>
                <w:sz w:val="19"/>
                <w:szCs w:val="19"/>
                <w:lang w:val="en"/>
              </w:rPr>
              <w:t>19.22</w:t>
            </w:r>
          </w:p>
        </w:tc>
        <w:tc>
          <w:tcPr>
            <w:tcW w:w="1080" w:type="dxa"/>
          </w:tcPr>
          <w:p w:rsidR="00215F0B" w:rsidRPr="00215F0B" w:rsidRDefault="00215F0B" w:rsidP="00215F0B">
            <w:pPr>
              <w:widowControl w:val="0"/>
              <w:pBdr>
                <w:top w:val="nil"/>
                <w:left w:val="nil"/>
                <w:bottom w:val="nil"/>
                <w:right w:val="nil"/>
                <w:between w:val="nil"/>
              </w:pBdr>
              <w:spacing w:line="240" w:lineRule="auto"/>
              <w:rPr>
                <w:rFonts w:eastAsia="Times New Roman" w:cs="Times New Roman"/>
                <w:sz w:val="19"/>
                <w:szCs w:val="19"/>
                <w:lang w:val="en"/>
              </w:rPr>
            </w:pPr>
            <w:r w:rsidRPr="00215F0B">
              <w:rPr>
                <w:rFonts w:eastAsia="Times New Roman" w:cs="Times New Roman"/>
                <w:sz w:val="19"/>
                <w:szCs w:val="19"/>
                <w:lang w:val="en"/>
              </w:rPr>
              <w:t>18.72</w:t>
            </w:r>
          </w:p>
        </w:tc>
      </w:tr>
      <w:tr w:rsidR="00215F0B" w:rsidRPr="00215F0B" w:rsidTr="00215F0B">
        <w:tc>
          <w:tcPr>
            <w:tcW w:w="1610" w:type="dxa"/>
            <w:shd w:val="clear" w:color="auto" w:fill="auto"/>
            <w:tcMar>
              <w:top w:w="100" w:type="dxa"/>
              <w:left w:w="100" w:type="dxa"/>
              <w:bottom w:w="100" w:type="dxa"/>
              <w:right w:w="100" w:type="dxa"/>
            </w:tcMar>
          </w:tcPr>
          <w:p w:rsidR="00215F0B" w:rsidRPr="00215F0B" w:rsidRDefault="00215F0B" w:rsidP="00215F0B">
            <w:pPr>
              <w:widowControl w:val="0"/>
              <w:pBdr>
                <w:top w:val="nil"/>
                <w:left w:val="nil"/>
                <w:bottom w:val="nil"/>
                <w:right w:val="nil"/>
                <w:between w:val="nil"/>
              </w:pBdr>
              <w:spacing w:line="240" w:lineRule="auto"/>
              <w:rPr>
                <w:rFonts w:eastAsia="Times New Roman" w:cs="Times New Roman"/>
                <w:sz w:val="19"/>
                <w:szCs w:val="19"/>
                <w:lang w:val="en"/>
              </w:rPr>
            </w:pPr>
            <w:r w:rsidRPr="00215F0B">
              <w:rPr>
                <w:rFonts w:eastAsia="Times New Roman" w:cs="Times New Roman"/>
                <w:sz w:val="19"/>
                <w:szCs w:val="19"/>
                <w:lang w:val="en"/>
              </w:rPr>
              <w:t>Western Africa</w:t>
            </w:r>
          </w:p>
        </w:tc>
        <w:tc>
          <w:tcPr>
            <w:tcW w:w="1170" w:type="dxa"/>
            <w:shd w:val="clear" w:color="auto" w:fill="auto"/>
            <w:tcMar>
              <w:top w:w="100" w:type="dxa"/>
              <w:left w:w="100" w:type="dxa"/>
              <w:bottom w:w="100" w:type="dxa"/>
              <w:right w:w="100" w:type="dxa"/>
            </w:tcMar>
          </w:tcPr>
          <w:p w:rsidR="00215F0B" w:rsidRPr="00215F0B" w:rsidRDefault="00215F0B" w:rsidP="00215F0B">
            <w:pPr>
              <w:widowControl w:val="0"/>
              <w:pBdr>
                <w:top w:val="nil"/>
                <w:left w:val="nil"/>
                <w:bottom w:val="nil"/>
                <w:right w:val="nil"/>
                <w:between w:val="nil"/>
              </w:pBdr>
              <w:spacing w:line="240" w:lineRule="auto"/>
              <w:rPr>
                <w:rFonts w:eastAsia="Times New Roman" w:cs="Times New Roman"/>
                <w:sz w:val="19"/>
                <w:szCs w:val="19"/>
                <w:lang w:val="en"/>
              </w:rPr>
            </w:pPr>
            <w:r w:rsidRPr="00215F0B">
              <w:rPr>
                <w:rFonts w:eastAsia="Times New Roman" w:cs="Times New Roman"/>
                <w:sz w:val="19"/>
                <w:szCs w:val="19"/>
                <w:lang w:val="en"/>
              </w:rPr>
              <w:t>15.53</w:t>
            </w:r>
          </w:p>
        </w:tc>
        <w:tc>
          <w:tcPr>
            <w:tcW w:w="1440" w:type="dxa"/>
          </w:tcPr>
          <w:p w:rsidR="00215F0B" w:rsidRPr="00215F0B" w:rsidRDefault="00215F0B" w:rsidP="00215F0B">
            <w:pPr>
              <w:widowControl w:val="0"/>
              <w:pBdr>
                <w:top w:val="nil"/>
                <w:left w:val="nil"/>
                <w:bottom w:val="nil"/>
                <w:right w:val="nil"/>
                <w:between w:val="nil"/>
              </w:pBdr>
              <w:spacing w:line="240" w:lineRule="auto"/>
              <w:rPr>
                <w:rFonts w:eastAsia="Times New Roman" w:cs="Times New Roman"/>
                <w:sz w:val="19"/>
                <w:szCs w:val="19"/>
                <w:lang w:val="en"/>
              </w:rPr>
            </w:pPr>
            <w:r w:rsidRPr="00215F0B">
              <w:rPr>
                <w:rFonts w:eastAsia="Times New Roman" w:cs="Times New Roman"/>
                <w:sz w:val="19"/>
                <w:szCs w:val="19"/>
                <w:lang w:val="en"/>
              </w:rPr>
              <w:t>15.86</w:t>
            </w:r>
          </w:p>
        </w:tc>
        <w:tc>
          <w:tcPr>
            <w:tcW w:w="1080" w:type="dxa"/>
          </w:tcPr>
          <w:p w:rsidR="00215F0B" w:rsidRPr="00215F0B" w:rsidRDefault="00215F0B" w:rsidP="00215F0B">
            <w:pPr>
              <w:widowControl w:val="0"/>
              <w:pBdr>
                <w:top w:val="nil"/>
                <w:left w:val="nil"/>
                <w:bottom w:val="nil"/>
                <w:right w:val="nil"/>
                <w:between w:val="nil"/>
              </w:pBdr>
              <w:spacing w:line="240" w:lineRule="auto"/>
              <w:rPr>
                <w:rFonts w:eastAsia="Times New Roman" w:cs="Times New Roman"/>
                <w:sz w:val="19"/>
                <w:szCs w:val="19"/>
                <w:lang w:val="en"/>
              </w:rPr>
            </w:pPr>
            <w:r w:rsidRPr="00215F0B">
              <w:rPr>
                <w:rFonts w:eastAsia="Times New Roman" w:cs="Times New Roman"/>
                <w:sz w:val="19"/>
                <w:szCs w:val="19"/>
                <w:lang w:val="en"/>
              </w:rPr>
              <w:t>16.17</w:t>
            </w:r>
          </w:p>
        </w:tc>
      </w:tr>
    </w:tbl>
    <w:p w:rsidR="00215F0B" w:rsidRPr="00215F0B" w:rsidRDefault="00215F0B" w:rsidP="00215F0B">
      <w:pPr>
        <w:pBdr>
          <w:bottom w:val="none" w:sz="0" w:space="1" w:color="000000"/>
        </w:pBdr>
        <w:spacing w:before="160" w:line="360" w:lineRule="auto"/>
        <w:ind w:right="160"/>
        <w:rPr>
          <w:rFonts w:eastAsia="Times New Roman" w:cs="Times New Roman"/>
          <w:b/>
          <w:sz w:val="19"/>
          <w:szCs w:val="19"/>
          <w:lang w:val="en"/>
        </w:rPr>
      </w:pPr>
      <w:r w:rsidRPr="00215F0B">
        <w:rPr>
          <w:rFonts w:eastAsia="Times New Roman" w:cs="Times New Roman"/>
          <w:sz w:val="19"/>
          <w:szCs w:val="19"/>
          <w:lang w:val="en"/>
        </w:rPr>
        <w:t xml:space="preserve">Source: World Bank Data Bank-Sustainable Development Goals (2015-18) </w:t>
      </w:r>
      <w:r w:rsidRPr="00215F0B">
        <w:rPr>
          <w:rFonts w:eastAsia="Times New Roman" w:cs="Times New Roman"/>
          <w:sz w:val="19"/>
          <w:szCs w:val="19"/>
          <w:lang w:val="en"/>
        </w:rPr>
        <w:fldChar w:fldCharType="begin" w:fldLock="1"/>
      </w:r>
      <w:r w:rsidRPr="00215F0B">
        <w:rPr>
          <w:rFonts w:eastAsia="Times New Roman" w:cs="Times New Roman"/>
          <w:sz w:val="19"/>
          <w:szCs w:val="19"/>
          <w:lang w:val="en"/>
        </w:rPr>
        <w:instrText>ADDIN CSL_CITATION {"citationItems":[{"id":"ITEM-1","itemData":{"URL":"https://datacatalog.worldbank.org/dataset/sustainable-development-goals","accessed":{"date-parts":[["2020","5","19"]]},"author":[{"dropping-particle":"","family":"World Bank","given":"","non-dropping-particle":"","parse-names":false,"suffix":""}],"id":"ITEM-1","issued":{"date-parts":[["0"]]},"title":"Sustainable Development Goals (SDG) | Data Catalog","type":"webpage"},"uris":["http://www.mendeley.com/documents/?uuid=5e43f6f2-0cd9-42ab-b19e-795b5eaa91cf"]}],"mendeley":{"formattedCitation":"(World Bank, no date)","plainTextFormattedCitation":"(World Bank, no date)","previouslyFormattedCitation":"(World Bank, no date)"},"properties":{"noteIndex":0},"schema":"https://github.com/citation-style-language/schema/raw/master/csl-citation.json"}</w:instrText>
      </w:r>
      <w:r w:rsidRPr="00215F0B">
        <w:rPr>
          <w:rFonts w:eastAsia="Times New Roman" w:cs="Times New Roman"/>
          <w:sz w:val="19"/>
          <w:szCs w:val="19"/>
          <w:lang w:val="en"/>
        </w:rPr>
        <w:fldChar w:fldCharType="separate"/>
      </w:r>
      <w:r w:rsidRPr="00215F0B">
        <w:rPr>
          <w:rFonts w:eastAsia="Times New Roman" w:cs="Times New Roman"/>
          <w:noProof/>
          <w:sz w:val="19"/>
          <w:szCs w:val="19"/>
          <w:lang w:val="en"/>
        </w:rPr>
        <w:t>(World Bank, no date)</w:t>
      </w:r>
      <w:r w:rsidRPr="00215F0B">
        <w:rPr>
          <w:rFonts w:eastAsia="Times New Roman" w:cs="Times New Roman"/>
          <w:sz w:val="19"/>
          <w:szCs w:val="19"/>
          <w:lang w:val="en"/>
        </w:rPr>
        <w:fldChar w:fldCharType="end"/>
      </w:r>
    </w:p>
    <w:p w:rsidR="001C72A7" w:rsidRPr="001C72A7" w:rsidRDefault="001C72A7" w:rsidP="001C72A7">
      <w:pPr>
        <w:spacing w:line="360" w:lineRule="auto"/>
        <w:rPr>
          <w:rFonts w:eastAsia="Times New Roman" w:cs="Times New Roman"/>
          <w:sz w:val="22"/>
          <w:szCs w:val="22"/>
          <w:lang w:val="en"/>
        </w:rPr>
      </w:pPr>
      <w:r w:rsidRPr="001C72A7">
        <w:rPr>
          <w:rFonts w:eastAsia="Times New Roman" w:cs="Times New Roman"/>
          <w:i/>
          <w:sz w:val="22"/>
          <w:szCs w:val="22"/>
          <w:lang w:val="en"/>
        </w:rPr>
        <w:t xml:space="preserve">Prevalence of Stunting. </w:t>
      </w:r>
      <w:r w:rsidRPr="001C72A7">
        <w:rPr>
          <w:rFonts w:eastAsia="Times New Roman" w:cs="Times New Roman"/>
          <w:sz w:val="22"/>
          <w:szCs w:val="22"/>
          <w:lang w:val="en"/>
        </w:rPr>
        <w:t xml:space="preserve">Compared to 2015, the prevalence of stunting (height for age) among children under the age of 5 decreased in both sub-Saharan Africa and the World in 2016 (see Table 5). Although the rate of child stunting for sub-Saharan Africa has dipped from 35.1% in 2015 to 34.1% in 2017, stunting is still higher than the average world rate of 22.2%. </w:t>
      </w:r>
    </w:p>
    <w:p w:rsidR="00215F0B" w:rsidRDefault="00215F0B" w:rsidP="00215F0B">
      <w:pPr>
        <w:widowControl w:val="0"/>
        <w:spacing w:line="240" w:lineRule="auto"/>
        <w:rPr>
          <w:rFonts w:eastAsia="Times New Roman" w:cs="Times New Roman"/>
          <w:b/>
          <w:sz w:val="19"/>
          <w:szCs w:val="19"/>
          <w:lang w:val="en"/>
        </w:rPr>
      </w:pPr>
    </w:p>
    <w:p w:rsidR="00215F0B" w:rsidRDefault="00215F0B" w:rsidP="00215F0B">
      <w:pPr>
        <w:widowControl w:val="0"/>
        <w:spacing w:line="240" w:lineRule="auto"/>
        <w:rPr>
          <w:rFonts w:eastAsia="Times New Roman" w:cs="Times New Roman"/>
          <w:b/>
          <w:sz w:val="19"/>
          <w:szCs w:val="19"/>
          <w:lang w:val="en"/>
        </w:rPr>
      </w:pPr>
    </w:p>
    <w:p w:rsidR="00215F0B" w:rsidRDefault="00215F0B" w:rsidP="00215F0B">
      <w:pPr>
        <w:widowControl w:val="0"/>
        <w:spacing w:line="240" w:lineRule="auto"/>
        <w:rPr>
          <w:rFonts w:eastAsia="Times New Roman" w:cs="Times New Roman"/>
          <w:b/>
          <w:sz w:val="19"/>
          <w:szCs w:val="19"/>
          <w:lang w:val="en"/>
        </w:rPr>
      </w:pPr>
    </w:p>
    <w:p w:rsidR="00215F0B" w:rsidRDefault="00215F0B" w:rsidP="00215F0B">
      <w:pPr>
        <w:widowControl w:val="0"/>
        <w:spacing w:line="240" w:lineRule="auto"/>
        <w:rPr>
          <w:rFonts w:eastAsia="Times New Roman" w:cs="Times New Roman"/>
          <w:b/>
          <w:sz w:val="19"/>
          <w:szCs w:val="19"/>
          <w:lang w:val="en"/>
        </w:rPr>
      </w:pPr>
    </w:p>
    <w:p w:rsidR="00215F0B" w:rsidRDefault="00215F0B" w:rsidP="00215F0B">
      <w:pPr>
        <w:widowControl w:val="0"/>
        <w:spacing w:line="240" w:lineRule="auto"/>
        <w:rPr>
          <w:rFonts w:eastAsia="Times New Roman" w:cs="Times New Roman"/>
          <w:b/>
          <w:sz w:val="19"/>
          <w:szCs w:val="19"/>
          <w:lang w:val="en"/>
        </w:rPr>
      </w:pPr>
    </w:p>
    <w:p w:rsidR="00215F0B" w:rsidRPr="00215F0B" w:rsidRDefault="00215F0B" w:rsidP="00215F0B">
      <w:pPr>
        <w:widowControl w:val="0"/>
        <w:spacing w:line="240" w:lineRule="auto"/>
        <w:rPr>
          <w:rFonts w:eastAsia="Times New Roman" w:cs="Times New Roman"/>
          <w:b/>
          <w:sz w:val="19"/>
          <w:szCs w:val="19"/>
          <w:lang w:val="en"/>
        </w:rPr>
      </w:pPr>
      <w:r w:rsidRPr="00215F0B">
        <w:rPr>
          <w:rFonts w:eastAsia="Times New Roman" w:cs="Times New Roman"/>
          <w:b/>
          <w:sz w:val="19"/>
          <w:szCs w:val="19"/>
          <w:lang w:val="en"/>
        </w:rPr>
        <w:t>Table 4.  Prevalence of Stunting, height for age (% of children under 5)</w:t>
      </w:r>
    </w:p>
    <w:p w:rsidR="00215F0B" w:rsidRPr="00215F0B" w:rsidRDefault="00215F0B" w:rsidP="00215F0B">
      <w:pPr>
        <w:widowControl w:val="0"/>
        <w:spacing w:line="240" w:lineRule="auto"/>
        <w:rPr>
          <w:rFonts w:eastAsia="Times New Roman" w:cs="Times New Roman"/>
          <w:b/>
          <w:sz w:val="19"/>
          <w:szCs w:val="19"/>
          <w:lang w:val="en"/>
        </w:rPr>
      </w:pPr>
    </w:p>
    <w:tbl>
      <w:tblPr>
        <w:tblW w:w="5210" w:type="dxa"/>
        <w:jc w:val="center"/>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Look w:val="0600" w:firstRow="0" w:lastRow="0" w:firstColumn="0" w:lastColumn="0" w:noHBand="1" w:noVBand="1"/>
      </w:tblPr>
      <w:tblGrid>
        <w:gridCol w:w="1520"/>
        <w:gridCol w:w="900"/>
        <w:gridCol w:w="990"/>
        <w:gridCol w:w="810"/>
        <w:gridCol w:w="990"/>
      </w:tblGrid>
      <w:tr w:rsidR="00215F0B" w:rsidRPr="00215F0B" w:rsidTr="00215F0B">
        <w:trPr>
          <w:jc w:val="center"/>
        </w:trPr>
        <w:tc>
          <w:tcPr>
            <w:tcW w:w="152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bCs/>
                <w:sz w:val="19"/>
                <w:szCs w:val="19"/>
                <w:lang w:val="en"/>
              </w:rPr>
            </w:pPr>
            <w:r w:rsidRPr="00215F0B">
              <w:rPr>
                <w:rFonts w:eastAsia="Times New Roman" w:cs="Times New Roman"/>
                <w:bCs/>
                <w:sz w:val="19"/>
                <w:szCs w:val="19"/>
                <w:lang w:val="en"/>
              </w:rPr>
              <w:t>Level</w:t>
            </w:r>
          </w:p>
        </w:tc>
        <w:tc>
          <w:tcPr>
            <w:tcW w:w="90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2015</w:t>
            </w:r>
          </w:p>
        </w:tc>
        <w:tc>
          <w:tcPr>
            <w:tcW w:w="99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2016</w:t>
            </w:r>
          </w:p>
        </w:tc>
        <w:tc>
          <w:tcPr>
            <w:tcW w:w="810" w:type="dxa"/>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2017</w:t>
            </w:r>
          </w:p>
        </w:tc>
        <w:tc>
          <w:tcPr>
            <w:tcW w:w="990" w:type="dxa"/>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2018</w:t>
            </w:r>
          </w:p>
        </w:tc>
      </w:tr>
      <w:tr w:rsidR="00215F0B" w:rsidRPr="00215F0B" w:rsidTr="00215F0B">
        <w:trPr>
          <w:jc w:val="center"/>
        </w:trPr>
        <w:tc>
          <w:tcPr>
            <w:tcW w:w="152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World Level</w:t>
            </w:r>
          </w:p>
        </w:tc>
        <w:tc>
          <w:tcPr>
            <w:tcW w:w="90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23.30</w:t>
            </w:r>
          </w:p>
        </w:tc>
        <w:tc>
          <w:tcPr>
            <w:tcW w:w="99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22.80</w:t>
            </w:r>
          </w:p>
        </w:tc>
        <w:tc>
          <w:tcPr>
            <w:tcW w:w="810" w:type="dxa"/>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22.40</w:t>
            </w:r>
          </w:p>
        </w:tc>
        <w:tc>
          <w:tcPr>
            <w:tcW w:w="990" w:type="dxa"/>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21.9</w:t>
            </w:r>
          </w:p>
        </w:tc>
      </w:tr>
      <w:tr w:rsidR="00215F0B" w:rsidRPr="00215F0B" w:rsidTr="00215F0B">
        <w:trPr>
          <w:jc w:val="center"/>
        </w:trPr>
        <w:tc>
          <w:tcPr>
            <w:tcW w:w="152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Regional (SSA)</w:t>
            </w:r>
          </w:p>
        </w:tc>
        <w:tc>
          <w:tcPr>
            <w:tcW w:w="90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33.5</w:t>
            </w:r>
          </w:p>
        </w:tc>
        <w:tc>
          <w:tcPr>
            <w:tcW w:w="99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33.30</w:t>
            </w:r>
          </w:p>
        </w:tc>
        <w:tc>
          <w:tcPr>
            <w:tcW w:w="810" w:type="dxa"/>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32.6</w:t>
            </w:r>
          </w:p>
        </w:tc>
        <w:tc>
          <w:tcPr>
            <w:tcW w:w="990" w:type="dxa"/>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32.1</w:t>
            </w:r>
          </w:p>
        </w:tc>
      </w:tr>
      <w:tr w:rsidR="00215F0B" w:rsidRPr="00215F0B" w:rsidTr="00215F0B">
        <w:trPr>
          <w:jc w:val="center"/>
        </w:trPr>
        <w:tc>
          <w:tcPr>
            <w:tcW w:w="152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Eastern Africa</w:t>
            </w:r>
          </w:p>
        </w:tc>
        <w:tc>
          <w:tcPr>
            <w:tcW w:w="90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36.9</w:t>
            </w:r>
          </w:p>
        </w:tc>
        <w:tc>
          <w:tcPr>
            <w:tcW w:w="99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36.4</w:t>
            </w:r>
          </w:p>
        </w:tc>
        <w:tc>
          <w:tcPr>
            <w:tcW w:w="810" w:type="dxa"/>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35.8</w:t>
            </w:r>
          </w:p>
        </w:tc>
        <w:tc>
          <w:tcPr>
            <w:tcW w:w="990" w:type="dxa"/>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35.2</w:t>
            </w:r>
          </w:p>
        </w:tc>
      </w:tr>
      <w:tr w:rsidR="00215F0B" w:rsidRPr="00215F0B" w:rsidTr="00215F0B">
        <w:trPr>
          <w:jc w:val="center"/>
        </w:trPr>
        <w:tc>
          <w:tcPr>
            <w:tcW w:w="152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Middle  Africa</w:t>
            </w:r>
          </w:p>
        </w:tc>
        <w:tc>
          <w:tcPr>
            <w:tcW w:w="90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33.3</w:t>
            </w:r>
          </w:p>
        </w:tc>
        <w:tc>
          <w:tcPr>
            <w:tcW w:w="99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32.9</w:t>
            </w:r>
          </w:p>
        </w:tc>
        <w:tc>
          <w:tcPr>
            <w:tcW w:w="810" w:type="dxa"/>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32.5</w:t>
            </w:r>
          </w:p>
        </w:tc>
        <w:tc>
          <w:tcPr>
            <w:tcW w:w="990" w:type="dxa"/>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32.1</w:t>
            </w:r>
          </w:p>
        </w:tc>
      </w:tr>
      <w:tr w:rsidR="00215F0B" w:rsidRPr="00215F0B" w:rsidTr="00215F0B">
        <w:trPr>
          <w:jc w:val="center"/>
        </w:trPr>
        <w:tc>
          <w:tcPr>
            <w:tcW w:w="152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Southern Africa</w:t>
            </w:r>
          </w:p>
        </w:tc>
        <w:tc>
          <w:tcPr>
            <w:tcW w:w="900" w:type="dxa"/>
            <w:shd w:val="clear" w:color="auto" w:fill="auto"/>
            <w:tcMar>
              <w:top w:w="100" w:type="dxa"/>
              <w:left w:w="100" w:type="dxa"/>
              <w:bottom w:w="100" w:type="dxa"/>
              <w:right w:w="100" w:type="dxa"/>
            </w:tcMar>
            <w:vAlign w:val="bottom"/>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29.9</w:t>
            </w:r>
          </w:p>
        </w:tc>
        <w:tc>
          <w:tcPr>
            <w:tcW w:w="990" w:type="dxa"/>
            <w:shd w:val="clear" w:color="auto" w:fill="auto"/>
            <w:tcMar>
              <w:top w:w="100" w:type="dxa"/>
              <w:left w:w="100" w:type="dxa"/>
              <w:bottom w:w="100" w:type="dxa"/>
              <w:right w:w="100" w:type="dxa"/>
            </w:tcMar>
            <w:vAlign w:val="bottom"/>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29.7</w:t>
            </w:r>
          </w:p>
        </w:tc>
        <w:tc>
          <w:tcPr>
            <w:tcW w:w="810" w:type="dxa"/>
            <w:vAlign w:val="bottom"/>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29.5</w:t>
            </w:r>
          </w:p>
        </w:tc>
        <w:tc>
          <w:tcPr>
            <w:tcW w:w="990" w:type="dxa"/>
            <w:vAlign w:val="bottom"/>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29.3</w:t>
            </w:r>
          </w:p>
        </w:tc>
      </w:tr>
      <w:tr w:rsidR="00215F0B" w:rsidRPr="00215F0B" w:rsidTr="00215F0B">
        <w:trPr>
          <w:jc w:val="center"/>
        </w:trPr>
        <w:tc>
          <w:tcPr>
            <w:tcW w:w="152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Western Africa</w:t>
            </w:r>
          </w:p>
        </w:tc>
        <w:tc>
          <w:tcPr>
            <w:tcW w:w="90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30.3</w:t>
            </w:r>
          </w:p>
        </w:tc>
        <w:tc>
          <w:tcPr>
            <w:tcW w:w="99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29.9</w:t>
            </w:r>
          </w:p>
        </w:tc>
        <w:tc>
          <w:tcPr>
            <w:tcW w:w="810" w:type="dxa"/>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29.5</w:t>
            </w:r>
          </w:p>
        </w:tc>
        <w:tc>
          <w:tcPr>
            <w:tcW w:w="990" w:type="dxa"/>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29.2</w:t>
            </w:r>
          </w:p>
        </w:tc>
      </w:tr>
    </w:tbl>
    <w:p w:rsidR="00215F0B" w:rsidRPr="00215F0B" w:rsidRDefault="00215F0B" w:rsidP="00215F0B">
      <w:pPr>
        <w:pBdr>
          <w:top w:val="nil"/>
          <w:left w:val="nil"/>
          <w:bottom w:val="none" w:sz="0" w:space="1" w:color="000000"/>
          <w:right w:val="nil"/>
          <w:between w:val="nil"/>
        </w:pBdr>
        <w:spacing w:before="160" w:line="240" w:lineRule="auto"/>
        <w:ind w:right="160"/>
        <w:rPr>
          <w:rFonts w:eastAsia="Times New Roman" w:cs="Times New Roman"/>
          <w:sz w:val="19"/>
          <w:szCs w:val="19"/>
          <w:lang w:val="en"/>
        </w:rPr>
      </w:pPr>
      <w:r w:rsidRPr="00215F0B">
        <w:rPr>
          <w:rFonts w:eastAsia="Times New Roman" w:cs="Times New Roman"/>
          <w:sz w:val="19"/>
          <w:szCs w:val="19"/>
          <w:lang w:val="en"/>
        </w:rPr>
        <w:t xml:space="preserve">Source: UNICEF, WHO, World Bank Group Joint Malnutrition Estimates, March 2019 Edition. Stunting prevalence 1990-2018 </w:t>
      </w:r>
      <w:r w:rsidRPr="00215F0B">
        <w:rPr>
          <w:rFonts w:eastAsia="Times New Roman" w:cs="Times New Roman"/>
          <w:sz w:val="19"/>
          <w:szCs w:val="19"/>
          <w:lang w:val="en"/>
        </w:rPr>
        <w:fldChar w:fldCharType="begin" w:fldLock="1"/>
      </w:r>
      <w:r w:rsidRPr="00215F0B">
        <w:rPr>
          <w:rFonts w:eastAsia="Times New Roman" w:cs="Times New Roman"/>
          <w:sz w:val="19"/>
          <w:szCs w:val="19"/>
          <w:lang w:val="en"/>
        </w:rPr>
        <w:instrText>ADDIN CSL_CITATION {"citationItems":[{"id":"ITEM-1","itemData":{"URL":"https://data.unicef.org/topic/nutrition/malnutrition/","accessed":{"date-parts":[["2009","9","20"]]},"author":[{"dropping-particle":"","family":"UNICEF","given":"","non-dropping-particle":"","parse-names":false,"suffix":""},{"dropping-particle":"","family":"WHO","given":"","non-dropping-particle":"","parse-names":false,"suffix":""},{"dropping-particle":"","family":"World Bank","given":"","non-dropping-particle":"","parse-names":false,"suffix":""}],"container-title":"UNICEF Data: Monitoring the situation of children and women","id":"ITEM-1","issued":{"date-parts":[["2019"]]},"title":"Joint child malnutrition estimates (global and regional), April 2019 edition","type":"webpage"},"uris":["http://www.mendeley.com/documents/?uuid=273c2196-f364-401d-9ff3-015a9bf21d51"]}],"mendeley":{"formattedCitation":"(UNICEF, WHO and World Bank, 2019)","plainTextFormattedCitation":"(UNICEF, WHO and World Bank, 2019)","previouslyFormattedCitation":"(UNICEF, WHO and World Bank, 2019)"},"properties":{"noteIndex":0},"schema":"https://github.com/citation-style-language/schema/raw/master/csl-citation.json"}</w:instrText>
      </w:r>
      <w:r w:rsidRPr="00215F0B">
        <w:rPr>
          <w:rFonts w:eastAsia="Times New Roman" w:cs="Times New Roman"/>
          <w:sz w:val="19"/>
          <w:szCs w:val="19"/>
          <w:lang w:val="en"/>
        </w:rPr>
        <w:fldChar w:fldCharType="separate"/>
      </w:r>
      <w:r w:rsidRPr="00215F0B">
        <w:rPr>
          <w:rFonts w:eastAsia="Times New Roman" w:cs="Times New Roman"/>
          <w:noProof/>
          <w:sz w:val="19"/>
          <w:szCs w:val="19"/>
          <w:lang w:val="en"/>
        </w:rPr>
        <w:t>(UNICEF, WHO and World Bank, 2019)</w:t>
      </w:r>
      <w:r w:rsidRPr="00215F0B">
        <w:rPr>
          <w:rFonts w:eastAsia="Times New Roman" w:cs="Times New Roman"/>
          <w:sz w:val="19"/>
          <w:szCs w:val="19"/>
          <w:lang w:val="en"/>
        </w:rPr>
        <w:fldChar w:fldCharType="end"/>
      </w:r>
    </w:p>
    <w:p w:rsidR="001C72A7" w:rsidRPr="001C72A7" w:rsidRDefault="001C72A7" w:rsidP="00215F0B">
      <w:pPr>
        <w:spacing w:line="360" w:lineRule="auto"/>
        <w:rPr>
          <w:rFonts w:eastAsia="Times New Roman" w:cs="Times New Roman"/>
          <w:b/>
          <w:sz w:val="22"/>
          <w:szCs w:val="22"/>
          <w:lang w:val="en"/>
        </w:rPr>
      </w:pPr>
    </w:p>
    <w:p w:rsidR="001C72A7" w:rsidRPr="001C72A7" w:rsidRDefault="001C72A7" w:rsidP="001C72A7">
      <w:pPr>
        <w:spacing w:line="360" w:lineRule="auto"/>
        <w:rPr>
          <w:rFonts w:eastAsia="Times New Roman" w:cs="Times New Roman"/>
          <w:b/>
          <w:sz w:val="22"/>
          <w:szCs w:val="22"/>
          <w:lang w:val="en"/>
        </w:rPr>
      </w:pPr>
      <w:r w:rsidRPr="001C72A7">
        <w:rPr>
          <w:rFonts w:eastAsia="Times New Roman" w:cs="Times New Roman"/>
          <w:b/>
          <w:sz w:val="22"/>
          <w:szCs w:val="22"/>
          <w:lang w:val="en"/>
        </w:rPr>
        <w:t xml:space="preserve">Prevalence of Malnutrition (wasting, and overweight) </w:t>
      </w:r>
    </w:p>
    <w:p w:rsidR="001C72A7" w:rsidRPr="001C72A7" w:rsidRDefault="001C72A7" w:rsidP="001C72A7">
      <w:pPr>
        <w:spacing w:line="360" w:lineRule="auto"/>
        <w:rPr>
          <w:rFonts w:eastAsia="Times New Roman" w:cs="Times New Roman"/>
          <w:sz w:val="22"/>
          <w:szCs w:val="22"/>
          <w:lang w:val="en"/>
        </w:rPr>
      </w:pPr>
      <w:r w:rsidRPr="001C72A7">
        <w:rPr>
          <w:rFonts w:eastAsia="Times New Roman" w:cs="Times New Roman"/>
          <w:i/>
          <w:sz w:val="22"/>
          <w:szCs w:val="22"/>
          <w:lang w:val="en"/>
        </w:rPr>
        <w:t xml:space="preserve">Prevalence of Wasting. </w:t>
      </w:r>
      <w:r w:rsidRPr="001C72A7">
        <w:rPr>
          <w:rFonts w:eastAsia="Times New Roman" w:cs="Times New Roman"/>
          <w:sz w:val="22"/>
          <w:szCs w:val="22"/>
          <w:lang w:val="en"/>
        </w:rPr>
        <w:t xml:space="preserve">Data gaps are observed on the measure of wasting across regions. Available data for 2018 suggests that sub-Saharan Africa has a slightly lower average than the global average (6.9% compared to 7.3%). Within the region, higher rates are reported in Western and Middle </w:t>
      </w:r>
      <w:r w:rsidR="00215F0B">
        <w:rPr>
          <w:rFonts w:eastAsia="Times New Roman" w:cs="Times New Roman"/>
          <w:sz w:val="22"/>
          <w:szCs w:val="22"/>
          <w:lang w:val="en"/>
        </w:rPr>
        <w:t>Africa respectively (see table 5</w:t>
      </w:r>
      <w:r w:rsidRPr="001C72A7">
        <w:rPr>
          <w:rFonts w:eastAsia="Times New Roman" w:cs="Times New Roman"/>
          <w:sz w:val="22"/>
          <w:szCs w:val="22"/>
          <w:lang w:val="en"/>
        </w:rPr>
        <w:t>).</w:t>
      </w:r>
    </w:p>
    <w:p w:rsidR="001C72A7" w:rsidRPr="001C72A7" w:rsidRDefault="001C72A7" w:rsidP="001C72A7">
      <w:pPr>
        <w:widowControl w:val="0"/>
        <w:spacing w:line="240" w:lineRule="auto"/>
        <w:rPr>
          <w:rFonts w:eastAsia="Times New Roman" w:cs="Times New Roman"/>
          <w:b/>
          <w:sz w:val="22"/>
          <w:szCs w:val="22"/>
          <w:lang w:val="en"/>
        </w:rPr>
      </w:pPr>
    </w:p>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b/>
          <w:sz w:val="19"/>
          <w:szCs w:val="19"/>
          <w:lang w:val="en"/>
        </w:rPr>
        <w:t>Table 5. Prevalence of Wasting, weight for height (% of children under 5</w:t>
      </w:r>
      <w:r w:rsidRPr="00215F0B">
        <w:rPr>
          <w:rFonts w:eastAsia="Times New Roman" w:cs="Times New Roman"/>
          <w:sz w:val="19"/>
          <w:szCs w:val="19"/>
          <w:lang w:val="en"/>
        </w:rPr>
        <w:t>)</w:t>
      </w:r>
    </w:p>
    <w:p w:rsidR="00215F0B" w:rsidRPr="00215F0B" w:rsidRDefault="00215F0B" w:rsidP="00215F0B">
      <w:pPr>
        <w:widowControl w:val="0"/>
        <w:spacing w:line="240" w:lineRule="auto"/>
        <w:rPr>
          <w:rFonts w:eastAsia="Times New Roman" w:cs="Times New Roman"/>
          <w:sz w:val="19"/>
          <w:szCs w:val="19"/>
          <w:lang w:val="en"/>
        </w:rPr>
      </w:pPr>
    </w:p>
    <w:tbl>
      <w:tblPr>
        <w:tblW w:w="3320"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Look w:val="0600" w:firstRow="0" w:lastRow="0" w:firstColumn="0" w:lastColumn="0" w:noHBand="1" w:noVBand="1"/>
      </w:tblPr>
      <w:tblGrid>
        <w:gridCol w:w="1430"/>
        <w:gridCol w:w="1170"/>
        <w:gridCol w:w="720"/>
      </w:tblGrid>
      <w:tr w:rsidR="00215F0B" w:rsidRPr="00215F0B" w:rsidTr="00215F0B">
        <w:tc>
          <w:tcPr>
            <w:tcW w:w="143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Level</w:t>
            </w:r>
          </w:p>
        </w:tc>
        <w:tc>
          <w:tcPr>
            <w:tcW w:w="117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2015-2017</w:t>
            </w:r>
          </w:p>
        </w:tc>
        <w:tc>
          <w:tcPr>
            <w:tcW w:w="72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2018</w:t>
            </w:r>
          </w:p>
        </w:tc>
      </w:tr>
      <w:tr w:rsidR="00215F0B" w:rsidRPr="00215F0B" w:rsidTr="00215F0B">
        <w:tc>
          <w:tcPr>
            <w:tcW w:w="143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World Level</w:t>
            </w:r>
          </w:p>
        </w:tc>
        <w:tc>
          <w:tcPr>
            <w:tcW w:w="117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N/A</w:t>
            </w:r>
          </w:p>
        </w:tc>
        <w:tc>
          <w:tcPr>
            <w:tcW w:w="72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7.3</w:t>
            </w:r>
          </w:p>
        </w:tc>
      </w:tr>
      <w:tr w:rsidR="00215F0B" w:rsidRPr="00215F0B" w:rsidTr="00215F0B">
        <w:tc>
          <w:tcPr>
            <w:tcW w:w="143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Regional (SSA)</w:t>
            </w:r>
          </w:p>
        </w:tc>
        <w:tc>
          <w:tcPr>
            <w:tcW w:w="117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N/A</w:t>
            </w:r>
          </w:p>
        </w:tc>
        <w:tc>
          <w:tcPr>
            <w:tcW w:w="72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6.9</w:t>
            </w:r>
          </w:p>
        </w:tc>
      </w:tr>
      <w:tr w:rsidR="00215F0B" w:rsidRPr="00215F0B" w:rsidTr="00215F0B">
        <w:tc>
          <w:tcPr>
            <w:tcW w:w="143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Eastern Africa</w:t>
            </w:r>
          </w:p>
        </w:tc>
        <w:tc>
          <w:tcPr>
            <w:tcW w:w="117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N/A</w:t>
            </w:r>
          </w:p>
        </w:tc>
        <w:tc>
          <w:tcPr>
            <w:tcW w:w="72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6.0</w:t>
            </w:r>
          </w:p>
        </w:tc>
      </w:tr>
      <w:tr w:rsidR="00215F0B" w:rsidRPr="00215F0B" w:rsidTr="00215F0B">
        <w:tc>
          <w:tcPr>
            <w:tcW w:w="143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Middle Africa</w:t>
            </w:r>
          </w:p>
        </w:tc>
        <w:tc>
          <w:tcPr>
            <w:tcW w:w="117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N/A</w:t>
            </w:r>
          </w:p>
        </w:tc>
        <w:tc>
          <w:tcPr>
            <w:tcW w:w="72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7.2</w:t>
            </w:r>
          </w:p>
        </w:tc>
      </w:tr>
      <w:tr w:rsidR="00215F0B" w:rsidRPr="00215F0B" w:rsidTr="00215F0B">
        <w:tc>
          <w:tcPr>
            <w:tcW w:w="143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Southern Africa</w:t>
            </w:r>
          </w:p>
        </w:tc>
        <w:tc>
          <w:tcPr>
            <w:tcW w:w="117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N/A</w:t>
            </w:r>
          </w:p>
        </w:tc>
        <w:tc>
          <w:tcPr>
            <w:tcW w:w="720" w:type="dxa"/>
            <w:shd w:val="clear" w:color="auto" w:fill="auto"/>
            <w:tcMar>
              <w:top w:w="100" w:type="dxa"/>
              <w:left w:w="100" w:type="dxa"/>
              <w:bottom w:w="100" w:type="dxa"/>
              <w:right w:w="100" w:type="dxa"/>
            </w:tcMar>
            <w:vAlign w:val="bottom"/>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3.5</w:t>
            </w:r>
          </w:p>
        </w:tc>
      </w:tr>
      <w:tr w:rsidR="00215F0B" w:rsidRPr="00215F0B" w:rsidTr="00215F0B">
        <w:tc>
          <w:tcPr>
            <w:tcW w:w="143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Western Africa</w:t>
            </w:r>
          </w:p>
        </w:tc>
        <w:tc>
          <w:tcPr>
            <w:tcW w:w="117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N/A</w:t>
            </w:r>
          </w:p>
        </w:tc>
        <w:tc>
          <w:tcPr>
            <w:tcW w:w="72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8.1</w:t>
            </w:r>
          </w:p>
        </w:tc>
      </w:tr>
    </w:tbl>
    <w:p w:rsidR="00215F0B" w:rsidRPr="00215F0B" w:rsidRDefault="00215F0B" w:rsidP="00215F0B">
      <w:pPr>
        <w:pBdr>
          <w:bottom w:val="none" w:sz="0" w:space="1" w:color="000000"/>
        </w:pBdr>
        <w:spacing w:before="160" w:line="240" w:lineRule="auto"/>
        <w:ind w:right="160"/>
        <w:rPr>
          <w:rFonts w:eastAsia="Times New Roman" w:cs="Times New Roman"/>
          <w:sz w:val="16"/>
          <w:szCs w:val="16"/>
          <w:lang w:val="en"/>
        </w:rPr>
      </w:pPr>
      <w:r w:rsidRPr="00215F0B">
        <w:rPr>
          <w:rFonts w:eastAsia="Times New Roman" w:cs="Times New Roman"/>
          <w:sz w:val="16"/>
          <w:szCs w:val="16"/>
          <w:lang w:val="en"/>
        </w:rPr>
        <w:t xml:space="preserve">Source: UNICEF, WHO, World Bank Group Joint Malnutrition Estimates, March 2019 Edition. Wasting prevalence and numbers affected (millions) 2018 </w:t>
      </w:r>
      <w:r w:rsidRPr="00215F0B">
        <w:rPr>
          <w:rFonts w:eastAsia="Times New Roman" w:cs="Times New Roman"/>
          <w:sz w:val="16"/>
          <w:szCs w:val="16"/>
          <w:lang w:val="en"/>
        </w:rPr>
        <w:fldChar w:fldCharType="begin" w:fldLock="1"/>
      </w:r>
      <w:r w:rsidRPr="00215F0B">
        <w:rPr>
          <w:rFonts w:eastAsia="Times New Roman" w:cs="Times New Roman"/>
          <w:sz w:val="16"/>
          <w:szCs w:val="16"/>
          <w:lang w:val="en"/>
        </w:rPr>
        <w:instrText>ADDIN CSL_CITATION {"citationItems":[{"id":"ITEM-1","itemData":{"URL":"https://data.unicef.org/topic/nutrition/malnutrition/","accessed":{"date-parts":[["2009","9","20"]]},"author":[{"dropping-particle":"","family":"UNICEF","given":"","non-dropping-particle":"","parse-names":false,"suffix":""},{"dropping-particle":"","family":"WHO","given":"","non-dropping-particle":"","parse-names":false,"suffix":""},{"dropping-particle":"","family":"World Bank","given":"","non-dropping-particle":"","parse-names":false,"suffix":""}],"container-title":"UNICEF Data: Monitoring the situation of children and women","id":"ITEM-1","issued":{"date-parts":[["2019"]]},"title":"Joint child malnutrition estimates (global and regional), April 2019 edition","type":"webpage"},"uris":["http://www.mendeley.com/documents/?uuid=273c2196-f364-401d-9ff3-015a9bf21d51"]}],"mendeley":{"formattedCitation":"(UNICEF, WHO and World Bank, 2019)","plainTextFormattedCitation":"(UNICEF, WHO and World Bank, 2019)","previouslyFormattedCitation":"(UNICEF, WHO and World Bank, 2019)"},"properties":{"noteIndex":0},"schema":"https://github.com/citation-style-language/schema/raw/master/csl-citation.json"}</w:instrText>
      </w:r>
      <w:r w:rsidRPr="00215F0B">
        <w:rPr>
          <w:rFonts w:eastAsia="Times New Roman" w:cs="Times New Roman"/>
          <w:sz w:val="16"/>
          <w:szCs w:val="16"/>
          <w:lang w:val="en"/>
        </w:rPr>
        <w:fldChar w:fldCharType="separate"/>
      </w:r>
      <w:r w:rsidRPr="00215F0B">
        <w:rPr>
          <w:rFonts w:eastAsia="Times New Roman" w:cs="Times New Roman"/>
          <w:noProof/>
          <w:sz w:val="16"/>
          <w:szCs w:val="16"/>
          <w:lang w:val="en"/>
        </w:rPr>
        <w:t>(UNICEF, WHO and World Bank, 2019)</w:t>
      </w:r>
      <w:r w:rsidRPr="00215F0B">
        <w:rPr>
          <w:rFonts w:eastAsia="Times New Roman" w:cs="Times New Roman"/>
          <w:sz w:val="16"/>
          <w:szCs w:val="16"/>
          <w:lang w:val="en"/>
        </w:rPr>
        <w:fldChar w:fldCharType="end"/>
      </w:r>
    </w:p>
    <w:p w:rsidR="00215F0B" w:rsidRPr="00215F0B" w:rsidRDefault="00215F0B" w:rsidP="001C72A7">
      <w:pPr>
        <w:spacing w:line="360" w:lineRule="auto"/>
        <w:rPr>
          <w:rFonts w:eastAsia="Times New Roman" w:cs="Times New Roman"/>
          <w:sz w:val="22"/>
          <w:szCs w:val="22"/>
          <w:lang w:val="en"/>
        </w:rPr>
      </w:pPr>
    </w:p>
    <w:p w:rsidR="001C72A7" w:rsidRPr="001C72A7" w:rsidRDefault="001C72A7" w:rsidP="001C72A7">
      <w:pPr>
        <w:spacing w:line="360" w:lineRule="auto"/>
        <w:rPr>
          <w:rFonts w:eastAsia="Times New Roman" w:cs="Times New Roman"/>
          <w:sz w:val="22"/>
          <w:szCs w:val="22"/>
          <w:lang w:val="en"/>
        </w:rPr>
      </w:pPr>
      <w:r w:rsidRPr="001C72A7">
        <w:rPr>
          <w:rFonts w:eastAsia="Times New Roman" w:cs="Times New Roman"/>
          <w:i/>
          <w:sz w:val="22"/>
          <w:szCs w:val="22"/>
          <w:lang w:val="en"/>
        </w:rPr>
        <w:t xml:space="preserve">Prevalence of Overweight. </w:t>
      </w:r>
      <w:r w:rsidRPr="001C72A7">
        <w:rPr>
          <w:rFonts w:eastAsia="Times New Roman" w:cs="Times New Roman"/>
          <w:sz w:val="22"/>
          <w:szCs w:val="22"/>
          <w:lang w:val="en"/>
        </w:rPr>
        <w:t>The prevalence of overweight tends to be lower for sub-Saharan Africa compared to the world average from 2015-2018 (3.9 compared to 5.90). Subregions of sub-Saharan Africa reporting higher rates of overweight among children under the age of five include southern, eastern and middle Africa (see table 6).</w:t>
      </w:r>
    </w:p>
    <w:p w:rsidR="00215F0B" w:rsidRDefault="00215F0B" w:rsidP="00215F0B">
      <w:pPr>
        <w:widowControl w:val="0"/>
        <w:spacing w:line="240" w:lineRule="auto"/>
        <w:rPr>
          <w:rFonts w:eastAsia="Times New Roman" w:cs="Times New Roman"/>
          <w:b/>
          <w:sz w:val="19"/>
          <w:szCs w:val="19"/>
          <w:lang w:val="en"/>
        </w:rPr>
      </w:pPr>
    </w:p>
    <w:p w:rsidR="00215F0B" w:rsidRPr="00215F0B" w:rsidRDefault="00215F0B" w:rsidP="00215F0B">
      <w:pPr>
        <w:widowControl w:val="0"/>
        <w:spacing w:line="240" w:lineRule="auto"/>
        <w:rPr>
          <w:rFonts w:eastAsia="Times New Roman" w:cs="Times New Roman"/>
          <w:b/>
          <w:sz w:val="19"/>
          <w:szCs w:val="19"/>
          <w:lang w:val="en"/>
        </w:rPr>
      </w:pPr>
      <w:r w:rsidRPr="00215F0B">
        <w:rPr>
          <w:rFonts w:eastAsia="Times New Roman" w:cs="Times New Roman"/>
          <w:b/>
          <w:sz w:val="19"/>
          <w:szCs w:val="19"/>
          <w:lang w:val="en"/>
        </w:rPr>
        <w:t>Table 6. Prevalence of Overweight, weight for height (% of children under 5)</w:t>
      </w:r>
    </w:p>
    <w:p w:rsidR="00215F0B" w:rsidRPr="00215F0B" w:rsidRDefault="00215F0B" w:rsidP="00215F0B">
      <w:pPr>
        <w:widowControl w:val="0"/>
        <w:spacing w:line="240" w:lineRule="auto"/>
        <w:rPr>
          <w:rFonts w:eastAsia="Times New Roman" w:cs="Times New Roman"/>
          <w:b/>
          <w:sz w:val="19"/>
          <w:szCs w:val="19"/>
          <w:lang w:val="en"/>
        </w:rPr>
      </w:pPr>
    </w:p>
    <w:tbl>
      <w:tblPr>
        <w:tblW w:w="4670"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Look w:val="0600" w:firstRow="0" w:lastRow="0" w:firstColumn="0" w:lastColumn="0" w:noHBand="1" w:noVBand="1"/>
      </w:tblPr>
      <w:tblGrid>
        <w:gridCol w:w="1430"/>
        <w:gridCol w:w="990"/>
        <w:gridCol w:w="810"/>
        <w:gridCol w:w="630"/>
        <w:gridCol w:w="810"/>
      </w:tblGrid>
      <w:tr w:rsidR="00215F0B" w:rsidRPr="00215F0B" w:rsidTr="00215F0B">
        <w:tc>
          <w:tcPr>
            <w:tcW w:w="143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b/>
                <w:bCs/>
                <w:sz w:val="19"/>
                <w:szCs w:val="19"/>
                <w:lang w:val="en"/>
              </w:rPr>
            </w:pPr>
            <w:r w:rsidRPr="00215F0B">
              <w:rPr>
                <w:rFonts w:eastAsia="Times New Roman" w:cs="Times New Roman"/>
                <w:b/>
                <w:bCs/>
                <w:sz w:val="19"/>
                <w:szCs w:val="19"/>
                <w:lang w:val="en"/>
              </w:rPr>
              <w:t>Level</w:t>
            </w:r>
          </w:p>
        </w:tc>
        <w:tc>
          <w:tcPr>
            <w:tcW w:w="99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2015</w:t>
            </w:r>
          </w:p>
        </w:tc>
        <w:tc>
          <w:tcPr>
            <w:tcW w:w="81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2016</w:t>
            </w:r>
          </w:p>
        </w:tc>
        <w:tc>
          <w:tcPr>
            <w:tcW w:w="630" w:type="dxa"/>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2017</w:t>
            </w:r>
          </w:p>
        </w:tc>
        <w:tc>
          <w:tcPr>
            <w:tcW w:w="810" w:type="dxa"/>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2018</w:t>
            </w:r>
          </w:p>
        </w:tc>
      </w:tr>
      <w:tr w:rsidR="00215F0B" w:rsidRPr="00215F0B" w:rsidTr="00215F0B">
        <w:tc>
          <w:tcPr>
            <w:tcW w:w="143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World Level</w:t>
            </w:r>
          </w:p>
        </w:tc>
        <w:tc>
          <w:tcPr>
            <w:tcW w:w="99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5.70</w:t>
            </w:r>
          </w:p>
        </w:tc>
        <w:tc>
          <w:tcPr>
            <w:tcW w:w="81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5.80</w:t>
            </w:r>
          </w:p>
        </w:tc>
        <w:tc>
          <w:tcPr>
            <w:tcW w:w="630" w:type="dxa"/>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5.80</w:t>
            </w:r>
          </w:p>
        </w:tc>
        <w:tc>
          <w:tcPr>
            <w:tcW w:w="810" w:type="dxa"/>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5.90</w:t>
            </w:r>
          </w:p>
        </w:tc>
      </w:tr>
      <w:tr w:rsidR="00215F0B" w:rsidRPr="00215F0B" w:rsidTr="00215F0B">
        <w:tc>
          <w:tcPr>
            <w:tcW w:w="143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Regional (SSA)</w:t>
            </w:r>
          </w:p>
        </w:tc>
        <w:tc>
          <w:tcPr>
            <w:tcW w:w="99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3.9</w:t>
            </w:r>
          </w:p>
        </w:tc>
        <w:tc>
          <w:tcPr>
            <w:tcW w:w="81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3.9</w:t>
            </w:r>
          </w:p>
        </w:tc>
        <w:tc>
          <w:tcPr>
            <w:tcW w:w="630" w:type="dxa"/>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3.9</w:t>
            </w:r>
          </w:p>
        </w:tc>
        <w:tc>
          <w:tcPr>
            <w:tcW w:w="810" w:type="dxa"/>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3.9</w:t>
            </w:r>
          </w:p>
        </w:tc>
      </w:tr>
      <w:tr w:rsidR="00215F0B" w:rsidRPr="00215F0B" w:rsidTr="00215F0B">
        <w:tc>
          <w:tcPr>
            <w:tcW w:w="143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Eastern Africa</w:t>
            </w:r>
          </w:p>
        </w:tc>
        <w:tc>
          <w:tcPr>
            <w:tcW w:w="99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4.4</w:t>
            </w:r>
          </w:p>
        </w:tc>
        <w:tc>
          <w:tcPr>
            <w:tcW w:w="81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4.3</w:t>
            </w:r>
          </w:p>
        </w:tc>
        <w:tc>
          <w:tcPr>
            <w:tcW w:w="630" w:type="dxa"/>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4.3</w:t>
            </w:r>
          </w:p>
        </w:tc>
        <w:tc>
          <w:tcPr>
            <w:tcW w:w="810" w:type="dxa"/>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4.3</w:t>
            </w:r>
          </w:p>
        </w:tc>
      </w:tr>
      <w:tr w:rsidR="00215F0B" w:rsidRPr="00215F0B" w:rsidTr="00215F0B">
        <w:tc>
          <w:tcPr>
            <w:tcW w:w="143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Middle  Africa</w:t>
            </w:r>
          </w:p>
        </w:tc>
        <w:tc>
          <w:tcPr>
            <w:tcW w:w="990" w:type="dxa"/>
            <w:shd w:val="clear" w:color="auto" w:fill="auto"/>
            <w:tcMar>
              <w:top w:w="100" w:type="dxa"/>
              <w:left w:w="100" w:type="dxa"/>
              <w:bottom w:w="100" w:type="dxa"/>
              <w:right w:w="100" w:type="dxa"/>
            </w:tcMar>
            <w:vAlign w:val="bottom"/>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4.6</w:t>
            </w:r>
          </w:p>
        </w:tc>
        <w:tc>
          <w:tcPr>
            <w:tcW w:w="810" w:type="dxa"/>
            <w:shd w:val="clear" w:color="auto" w:fill="auto"/>
            <w:tcMar>
              <w:top w:w="100" w:type="dxa"/>
              <w:left w:w="100" w:type="dxa"/>
              <w:bottom w:w="100" w:type="dxa"/>
              <w:right w:w="100" w:type="dxa"/>
            </w:tcMar>
            <w:vAlign w:val="bottom"/>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4.6</w:t>
            </w:r>
          </w:p>
        </w:tc>
        <w:tc>
          <w:tcPr>
            <w:tcW w:w="630" w:type="dxa"/>
            <w:vAlign w:val="bottom"/>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4.6</w:t>
            </w:r>
          </w:p>
        </w:tc>
        <w:tc>
          <w:tcPr>
            <w:tcW w:w="810" w:type="dxa"/>
            <w:vAlign w:val="bottom"/>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4.6</w:t>
            </w:r>
          </w:p>
        </w:tc>
      </w:tr>
      <w:tr w:rsidR="00215F0B" w:rsidRPr="00215F0B" w:rsidTr="00215F0B">
        <w:tc>
          <w:tcPr>
            <w:tcW w:w="143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Southern Africa</w:t>
            </w:r>
          </w:p>
        </w:tc>
        <w:tc>
          <w:tcPr>
            <w:tcW w:w="990" w:type="dxa"/>
            <w:shd w:val="clear" w:color="auto" w:fill="auto"/>
            <w:tcMar>
              <w:top w:w="100" w:type="dxa"/>
              <w:left w:w="100" w:type="dxa"/>
              <w:bottom w:w="100" w:type="dxa"/>
              <w:right w:w="100" w:type="dxa"/>
            </w:tcMar>
            <w:vAlign w:val="bottom"/>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12.5</w:t>
            </w:r>
          </w:p>
        </w:tc>
        <w:tc>
          <w:tcPr>
            <w:tcW w:w="810" w:type="dxa"/>
            <w:shd w:val="clear" w:color="auto" w:fill="auto"/>
            <w:tcMar>
              <w:top w:w="100" w:type="dxa"/>
              <w:left w:w="100" w:type="dxa"/>
              <w:bottom w:w="100" w:type="dxa"/>
              <w:right w:w="100" w:type="dxa"/>
            </w:tcMar>
            <w:vAlign w:val="bottom"/>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12.7</w:t>
            </w:r>
          </w:p>
        </w:tc>
        <w:tc>
          <w:tcPr>
            <w:tcW w:w="630" w:type="dxa"/>
            <w:vAlign w:val="bottom"/>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12.8</w:t>
            </w:r>
          </w:p>
        </w:tc>
        <w:tc>
          <w:tcPr>
            <w:tcW w:w="810" w:type="dxa"/>
            <w:vAlign w:val="bottom"/>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13.0</w:t>
            </w:r>
          </w:p>
        </w:tc>
      </w:tr>
      <w:tr w:rsidR="00215F0B" w:rsidRPr="00215F0B" w:rsidTr="00215F0B">
        <w:tc>
          <w:tcPr>
            <w:tcW w:w="1430" w:type="dxa"/>
            <w:shd w:val="clear" w:color="auto" w:fill="auto"/>
            <w:tcMar>
              <w:top w:w="100" w:type="dxa"/>
              <w:left w:w="100" w:type="dxa"/>
              <w:bottom w:w="100" w:type="dxa"/>
              <w:right w:w="100" w:type="dxa"/>
            </w:tcMar>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Western Africa</w:t>
            </w:r>
          </w:p>
        </w:tc>
        <w:tc>
          <w:tcPr>
            <w:tcW w:w="990" w:type="dxa"/>
            <w:shd w:val="clear" w:color="auto" w:fill="auto"/>
            <w:tcMar>
              <w:top w:w="100" w:type="dxa"/>
              <w:left w:w="100" w:type="dxa"/>
              <w:bottom w:w="100" w:type="dxa"/>
              <w:right w:w="100" w:type="dxa"/>
            </w:tcMar>
            <w:vAlign w:val="bottom"/>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2.2</w:t>
            </w:r>
          </w:p>
        </w:tc>
        <w:tc>
          <w:tcPr>
            <w:tcW w:w="810" w:type="dxa"/>
            <w:shd w:val="clear" w:color="auto" w:fill="auto"/>
            <w:tcMar>
              <w:top w:w="100" w:type="dxa"/>
              <w:left w:w="100" w:type="dxa"/>
              <w:bottom w:w="100" w:type="dxa"/>
              <w:right w:w="100" w:type="dxa"/>
            </w:tcMar>
            <w:vAlign w:val="bottom"/>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2.2</w:t>
            </w:r>
          </w:p>
        </w:tc>
        <w:tc>
          <w:tcPr>
            <w:tcW w:w="630" w:type="dxa"/>
            <w:vAlign w:val="bottom"/>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2.1</w:t>
            </w:r>
          </w:p>
        </w:tc>
        <w:tc>
          <w:tcPr>
            <w:tcW w:w="810" w:type="dxa"/>
            <w:vAlign w:val="bottom"/>
          </w:tcPr>
          <w:p w:rsidR="00215F0B" w:rsidRPr="00215F0B" w:rsidRDefault="00215F0B" w:rsidP="00215F0B">
            <w:pPr>
              <w:widowControl w:val="0"/>
              <w:spacing w:line="240" w:lineRule="auto"/>
              <w:rPr>
                <w:rFonts w:eastAsia="Times New Roman" w:cs="Times New Roman"/>
                <w:sz w:val="19"/>
                <w:szCs w:val="19"/>
                <w:lang w:val="en"/>
              </w:rPr>
            </w:pPr>
            <w:r w:rsidRPr="00215F0B">
              <w:rPr>
                <w:rFonts w:eastAsia="Times New Roman" w:cs="Times New Roman"/>
                <w:sz w:val="19"/>
                <w:szCs w:val="19"/>
                <w:lang w:val="en"/>
              </w:rPr>
              <w:t>2.1</w:t>
            </w:r>
          </w:p>
        </w:tc>
      </w:tr>
    </w:tbl>
    <w:p w:rsidR="00215F0B" w:rsidRPr="00215F0B" w:rsidRDefault="00215F0B" w:rsidP="00215F0B">
      <w:pPr>
        <w:pBdr>
          <w:bottom w:val="none" w:sz="0" w:space="1" w:color="000000"/>
        </w:pBdr>
        <w:spacing w:before="160" w:line="240" w:lineRule="auto"/>
        <w:ind w:right="160"/>
        <w:rPr>
          <w:rFonts w:eastAsia="Times New Roman" w:cs="Times New Roman"/>
          <w:sz w:val="19"/>
          <w:szCs w:val="19"/>
          <w:lang w:val="en"/>
        </w:rPr>
      </w:pPr>
      <w:r w:rsidRPr="00215F0B">
        <w:rPr>
          <w:rFonts w:eastAsia="Times New Roman" w:cs="Times New Roman"/>
          <w:sz w:val="19"/>
          <w:szCs w:val="19"/>
          <w:lang w:val="en"/>
        </w:rPr>
        <w:t xml:space="preserve">Source: UNICEF, WHO, World Bank Group Joint Malnutrition Estimates, March 2019 Edition. Overweight prevalence 1990-2018. </w:t>
      </w:r>
      <w:r w:rsidRPr="00215F0B">
        <w:rPr>
          <w:rFonts w:eastAsia="Times New Roman" w:cs="Times New Roman"/>
          <w:sz w:val="19"/>
          <w:szCs w:val="19"/>
          <w:lang w:val="en"/>
        </w:rPr>
        <w:fldChar w:fldCharType="begin" w:fldLock="1"/>
      </w:r>
      <w:r w:rsidRPr="00215F0B">
        <w:rPr>
          <w:rFonts w:eastAsia="Times New Roman" w:cs="Times New Roman"/>
          <w:sz w:val="19"/>
          <w:szCs w:val="19"/>
          <w:lang w:val="en"/>
        </w:rPr>
        <w:instrText>ADDIN CSL_CITATION {"citationItems":[{"id":"ITEM-1","itemData":{"URL":"https://data.unicef.org/topic/nutrition/malnutrition/","accessed":{"date-parts":[["2009","9","20"]]},"author":[{"dropping-particle":"","family":"UNICEF","given":"","non-dropping-particle":"","parse-names":false,"suffix":""},{"dropping-particle":"","family":"WHO","given":"","non-dropping-particle":"","parse-names":false,"suffix":""},{"dropping-particle":"","family":"World Bank","given":"","non-dropping-particle":"","parse-names":false,"suffix":""}],"container-title":"UNICEF Data: Monitoring the situation of children and women","id":"ITEM-1","issued":{"date-parts":[["2019"]]},"title":"Joint child malnutrition estimates (global and regional), April 2019 edition","type":"webpage"},"uris":["http://www.mendeley.com/documents/?uuid=273c2196-f364-401d-9ff3-015a9bf21d51"]}],"mendeley":{"formattedCitation":"(UNICEF, WHO and World Bank, 2019)","plainTextFormattedCitation":"(UNICEF, WHO and World Bank, 2019)","previouslyFormattedCitation":"(UNICEF, WHO and World Bank, 2019)"},"properties":{"noteIndex":0},"schema":"https://github.com/citation-style-language/schema/raw/master/csl-citation.json"}</w:instrText>
      </w:r>
      <w:r w:rsidRPr="00215F0B">
        <w:rPr>
          <w:rFonts w:eastAsia="Times New Roman" w:cs="Times New Roman"/>
          <w:sz w:val="19"/>
          <w:szCs w:val="19"/>
          <w:lang w:val="en"/>
        </w:rPr>
        <w:fldChar w:fldCharType="separate"/>
      </w:r>
      <w:r w:rsidRPr="00215F0B">
        <w:rPr>
          <w:rFonts w:eastAsia="Times New Roman" w:cs="Times New Roman"/>
          <w:noProof/>
          <w:sz w:val="19"/>
          <w:szCs w:val="19"/>
          <w:lang w:val="en"/>
        </w:rPr>
        <w:t>(UNICEF, WHO and World Bank, 2019)</w:t>
      </w:r>
      <w:r w:rsidRPr="00215F0B">
        <w:rPr>
          <w:rFonts w:eastAsia="Times New Roman" w:cs="Times New Roman"/>
          <w:sz w:val="19"/>
          <w:szCs w:val="19"/>
          <w:lang w:val="en"/>
        </w:rPr>
        <w:fldChar w:fldCharType="end"/>
      </w:r>
      <w:r w:rsidRPr="00215F0B">
        <w:rPr>
          <w:rFonts w:eastAsia="Times New Roman" w:cs="Times New Roman"/>
          <w:sz w:val="19"/>
          <w:szCs w:val="19"/>
          <w:lang w:val="en"/>
        </w:rPr>
        <w:t xml:space="preserve">    </w:t>
      </w:r>
    </w:p>
    <w:p w:rsidR="001C72A7" w:rsidRPr="001C72A7" w:rsidRDefault="001C72A7" w:rsidP="001C72A7">
      <w:pPr>
        <w:spacing w:line="360" w:lineRule="auto"/>
        <w:rPr>
          <w:rFonts w:eastAsia="Times New Roman" w:cs="Times New Roman"/>
          <w:sz w:val="22"/>
          <w:szCs w:val="22"/>
          <w:lang w:val="en"/>
        </w:rPr>
      </w:pPr>
    </w:p>
    <w:p w:rsidR="001C72A7" w:rsidRPr="001C72A7" w:rsidRDefault="001C72A7" w:rsidP="001C72A7">
      <w:pPr>
        <w:spacing w:line="360" w:lineRule="auto"/>
        <w:rPr>
          <w:rFonts w:eastAsia="Times New Roman" w:cs="Times New Roman"/>
          <w:b/>
          <w:sz w:val="22"/>
          <w:szCs w:val="22"/>
          <w:highlight w:val="yellow"/>
          <w:lang w:val="en"/>
        </w:rPr>
      </w:pPr>
      <w:r w:rsidRPr="001C72A7">
        <w:rPr>
          <w:rFonts w:eastAsia="Times New Roman" w:cs="Times New Roman"/>
          <w:b/>
          <w:sz w:val="22"/>
          <w:szCs w:val="22"/>
          <w:lang w:val="en"/>
        </w:rPr>
        <w:t>Limitations</w:t>
      </w:r>
    </w:p>
    <w:p w:rsidR="001C72A7" w:rsidRPr="001C72A7" w:rsidRDefault="001C72A7" w:rsidP="001C72A7">
      <w:pPr>
        <w:spacing w:line="360" w:lineRule="auto"/>
        <w:rPr>
          <w:rFonts w:eastAsia="Times New Roman" w:cs="Times New Roman"/>
          <w:b/>
          <w:sz w:val="22"/>
          <w:szCs w:val="22"/>
          <w:lang w:val="en"/>
        </w:rPr>
      </w:pPr>
      <w:r w:rsidRPr="001C72A7">
        <w:rPr>
          <w:rFonts w:eastAsia="Times New Roman" w:cs="Times New Roman"/>
          <w:sz w:val="22"/>
          <w:szCs w:val="22"/>
          <w:lang w:val="en"/>
        </w:rPr>
        <w:t>A number of limitations are acknowledged. First, although data on SDGs are available</w:t>
      </w:r>
      <w:r w:rsidRPr="001C72A7">
        <w:rPr>
          <w:rFonts w:eastAsia="Times New Roman" w:cs="Times New Roman"/>
          <w:sz w:val="22"/>
          <w:szCs w:val="22"/>
          <w:highlight w:val="white"/>
          <w:lang w:val="en"/>
        </w:rPr>
        <w:t xml:space="preserve"> across a wide range of targets presents, gaps in trackable data have been acknowledged as a major challenge, limiting comprehensive assessment of regional/country performance and trajectory on SDG #2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URL":"https://www.cgdev.org/blog/sdg-indicators-serious-gaps-abound-data-availability","accessed":{"date-parts":[["2020","6","13"]]},"author":[{"dropping-particle":"","family":"Dunning","given":"Casey","non-dropping-particle":"","parse-names":false,"suffix":""},{"dropping-particle":"","family":"Kalow","given":"Jared","non-dropping-particle":"","parse-names":false,"suffix":""}],"container-title":"Center for Global Development","id":"ITEM-1","issued":{"date-parts":[["2016"]]},"title":"SDG Indicators: Serious Gaps Abound in Data Availability | Center For Global Development","type":"webpage"},"uris":["http://www.mendeley.com/documents/?uuid=a544b7a5-3be0-3f96-b3c3-6ef7325387d5"]},{"id":"ITEM-2","itemData":{"ISBN":"9789211251272","author":[{"dropping-particle":"","family":"United Nations Economic Commission for Africa","given":"","non-dropping-particle":"","parse-names":false,"suffix":""}],"id":"ITEM-2","issued":{"date-parts":[["2017"]]},"publisher-place":"Addis Ababa, Ethiopia All","title":"Economic Report on Africa 2017: Urbanization and Industrialization for Africa’s Transformation","type":"report"},"uris":["http://www.mendeley.com/documents/?uuid=2be9612d-52a8-4f4a-9fef-af690400cd48"]}],"mendeley":{"formattedCitation":"(Dunning and Kalow, 2016; United Nations Economic Commission for Africa, 2017)","plainTextFormattedCitation":"(Dunning and Kalow, 2016; United Nations Economic Commission for Africa, 2017)","previouslyFormattedCitation":"(Dunning and Kalow, 2016; United Nations Economic Commission for Africa, 2017)"},"properties":{"noteIndex":0},"schema":"https://github.com/citation-style-language/schema/raw/master/csl-citation.json"}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(Dunning and Kalow, 2016; United Nations Economic Commission for Africa, 2017)</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Indeed, more than 40 percent of indicators under SDG #2 are not trackable in sub-Saharan Africa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{"citationItems":[{"id":"ITEM-1","itemData":{"ISBN":"9789211251272","author":[{"dropping-particle":"","family":"United Nations Economic Commission for Africa","given":"","non-dropping-particle":"","parse-names":false,"suffix":""}],"id":"ITEM-1","issued":{"date-parts":[["2017"]]},"publisher-place":"Addis Ababa, Ethiopia All","title":"Economic Report on Africa 2017: Urbanization and Industrialization for Africa’s Transformation","type":"report"},"uris":["http://www.mendeley.com/documents/?uuid=2be9612d-52a8-4f4a-9fef-af690400cd48"]}],"mendeley":{"formattedCitation":"(United Nations Economic Commission for Africa, 2017)","plainTextFormattedCitation":"(United Nations Economic Commission for Africa, 2017)","previouslyFormattedCitation":"(United Nations Economic Commission for Africa, 2017)"},"properties":{"noteIndex":0},"schema":"https://github.com/citation-style-language/schema/raw/master/csl-citation.json"}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(United Nations Economic Commission for Africa, 2017)</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For example, we were not able to explicitly examine the relationship between the three pathways and child hunger and malnutrition because of data gaps. The observed data gaps often translate into </w:t>
      </w:r>
      <w:r w:rsidRPr="001C72A7">
        <w:rPr>
          <w:rFonts w:eastAsia="Times New Roman" w:cs="Times New Roman"/>
          <w:sz w:val="22"/>
          <w:szCs w:val="22"/>
          <w:lang w:val="en"/>
        </w:rPr>
        <w:t xml:space="preserve">policy decisions and interventions that are not guided by evidence. As a benchmarking exercise, the current study stops short of examining causal relationships or associations between the indicators and pathways and provides an overview of existing data and literature to facilitate such exercises. Observations made in this study point to the need for future assessments and research to examine child hunger and malnutrition using more comprehensive data and a theoretical framework. </w:t>
      </w:r>
    </w:p>
    <w:p w:rsidR="001C72A7" w:rsidRPr="001C72A7" w:rsidRDefault="001C72A7" w:rsidP="001C72A7">
      <w:pPr>
        <w:spacing w:line="360" w:lineRule="auto"/>
        <w:rPr>
          <w:rFonts w:eastAsia="Times New Roman" w:cs="Times New Roman"/>
          <w:b/>
          <w:sz w:val="22"/>
          <w:szCs w:val="22"/>
          <w:lang w:val="en"/>
        </w:rPr>
      </w:pPr>
      <w:r w:rsidRPr="001C72A7">
        <w:rPr>
          <w:rFonts w:eastAsia="Times New Roman" w:cs="Times New Roman"/>
          <w:b/>
          <w:sz w:val="22"/>
          <w:szCs w:val="22"/>
          <w:lang w:val="en"/>
        </w:rPr>
        <w:t>Discussion</w:t>
      </w:r>
    </w:p>
    <w:p w:rsidR="001C72A7" w:rsidRPr="001C72A7" w:rsidRDefault="001C72A7" w:rsidP="001C72A7">
      <w:pPr>
        <w:spacing w:line="360" w:lineRule="auto"/>
        <w:rPr>
          <w:rFonts w:eastAsia="Times New Roman" w:cs="Times New Roman"/>
          <w:sz w:val="22"/>
          <w:szCs w:val="22"/>
          <w:lang w:val="en"/>
        </w:rPr>
      </w:pPr>
      <w:r w:rsidRPr="001C72A7">
        <w:rPr>
          <w:rFonts w:eastAsia="Times New Roman" w:cs="Times New Roman"/>
          <w:sz w:val="22"/>
          <w:szCs w:val="22"/>
          <w:lang w:val="en"/>
        </w:rPr>
        <w:t xml:space="preserve">The prevalence of undernourishment continues to be high in sub-Saharan Africa. Within the region, Eastern Africa reports the highest rates and the rates for Middle Africa continue to be at alarming levels. Figures for Middle Africa may be driven by the Central African Republic where prevalence of undernutrition stands at 62%. As in previous studies, undernourishment in the region is more visible in conflict-affected countries and countries affected by drought and flood conditions, highlighting the compounding effects of conflict on climate-related incidents </w:t>
      </w:r>
      <w:r w:rsidRPr="001C72A7">
        <w:rPr>
          <w:rFonts w:eastAsia="Times New Roman" w:cs="Times New Roman"/>
          <w:sz w:val="22"/>
          <w:szCs w:val="22"/>
          <w:lang w:val="en"/>
        </w:rPr>
        <w:fldChar w:fldCharType="begin" w:fldLock="1"/>
      </w:r>
      <w:r w:rsidRPr="001C72A7">
        <w:rPr>
          <w:rFonts w:eastAsia="Times New Roman" w:cs="Times New Roman"/>
          <w:sz w:val="22"/>
          <w:szCs w:val="22"/>
          <w:lang w:val="en"/>
        </w:rPr>
        <w:instrText>ADDIN CSL_CITATION {"citationItems":[{"id":"ITEM-1","itemData":{"ISBN":"9789251315705","author":[{"dropping-particle":"","family":"FAO","given":"","non-dropping-particle":"","parse-names":false,"suffix":""},{"dropping-particle":"","family":"IFAD","given":"","non-dropping-particle":"","parse-names":false,"suffix":""},{"dropping-particle":"","family":"UNICEF","given":"","non-dropping-particle":"","parse-names":false,"suffix":""},{"dropping-particle":"","family":"WFP","given":"","non-dropping-particle":"","parse-names":false,"suffix":""},{"dropping-particle":"","family":"WHO","given":"","non-dropping-particle":"","parse-names":false,"suffix":""}],"id":"ITEM-1","issued":{"date-parts":[["2019"]]},"publisher":"FOOD &amp; AGRICULTURE ORG","publisher-place":"Rome","title":"The state of food security and nutrition in the world 2019: Safeguarding against economic slowdowns and downturns.","type":"report"},"uris":["http://www.mendeley.com/documents/?uuid=6e0a38e7-727d-3a80-9ca3-9dc126c56d8e"]}],"mendeley":{"formattedCitation":"(FAO &lt;i&gt;et al.&lt;/i&gt;, 2019)","plainTextFormattedCitation":"(FAO et al., 2019)","previouslyFormattedCitation":"(FAO &lt;i&gt;et al.&lt;/i&gt;, 2019)"},"properties":{"noteIndex":0},"schema":"https://github.com/citation-style-language/schema/raw/master/csl-citation.json"}</w:instrText>
      </w:r>
      <w:r w:rsidRPr="001C72A7">
        <w:rPr>
          <w:rFonts w:eastAsia="Times New Roman" w:cs="Times New Roman"/>
          <w:sz w:val="22"/>
          <w:szCs w:val="22"/>
          <w:lang w:val="en"/>
        </w:rPr>
        <w:fldChar w:fldCharType="separate"/>
      </w:r>
      <w:r w:rsidRPr="001C72A7">
        <w:rPr>
          <w:rFonts w:eastAsia="Times New Roman" w:cs="Times New Roman"/>
          <w:noProof/>
          <w:sz w:val="22"/>
          <w:szCs w:val="22"/>
          <w:lang w:val="en"/>
        </w:rPr>
        <w:t xml:space="preserve">(FAO </w:t>
      </w:r>
      <w:r w:rsidRPr="001C72A7">
        <w:rPr>
          <w:rFonts w:eastAsia="Times New Roman" w:cs="Times New Roman"/>
          <w:i/>
          <w:noProof/>
          <w:sz w:val="22"/>
          <w:szCs w:val="22"/>
          <w:lang w:val="en"/>
        </w:rPr>
        <w:t>et al.</w:t>
      </w:r>
      <w:r w:rsidRPr="001C72A7">
        <w:rPr>
          <w:rFonts w:eastAsia="Times New Roman" w:cs="Times New Roman"/>
          <w:noProof/>
          <w:sz w:val="22"/>
          <w:szCs w:val="22"/>
          <w:lang w:val="en"/>
        </w:rPr>
        <w:t>, 2019)</w:t>
      </w:r>
      <w:r w:rsidRPr="001C72A7">
        <w:rPr>
          <w:rFonts w:eastAsia="Times New Roman" w:cs="Times New Roman"/>
          <w:sz w:val="22"/>
          <w:szCs w:val="22"/>
          <w:lang w:val="en"/>
        </w:rPr>
        <w:fldChar w:fldCharType="end"/>
      </w:r>
      <w:r w:rsidRPr="001C72A7">
        <w:rPr>
          <w:rFonts w:eastAsia="Times New Roman" w:cs="Times New Roman"/>
          <w:sz w:val="22"/>
          <w:szCs w:val="22"/>
          <w:lang w:val="en"/>
        </w:rPr>
        <w:t xml:space="preserve">. Furthermore, stunting, an indicator of severe malnutrition, caused by a range of intersecting factors such as a child’s nutritional intake, mother nutrition during pregnancy, and the recurrence of infectious diseases </w:t>
      </w:r>
      <w:r w:rsidRPr="001C72A7">
        <w:rPr>
          <w:rFonts w:eastAsia="Times New Roman" w:cs="Times New Roman"/>
          <w:sz w:val="22"/>
          <w:szCs w:val="22"/>
          <w:lang w:val="en"/>
        </w:rPr>
        <w:fldChar w:fldCharType="begin" w:fldLock="1"/>
      </w:r>
      <w:r w:rsidRPr="001C72A7">
        <w:rPr>
          <w:rFonts w:eastAsia="Times New Roman" w:cs="Times New Roman"/>
          <w:sz w:val="22"/>
          <w:szCs w:val="22"/>
          <w:lang w:val="en"/>
        </w:rPr>
        <w:instrText>ADDIN CSL_CITATION {"citationItems":[{"id":"ITEM-1","itemData":{"DOI":"10.1017/S1368980015001913","ISBN":"1368980015001","ISSN":"14752727","abstract":"OBJECTIVE: To investigate the predictors of wasting, stunting and low mid-upper arm circumference among children aged 6-59 months in Somalia using data from household cross-sectional surveys from 2007 to 2010 in order to help inform better targeting of nutritional interventions. DESIGN: Cross-sectional nutritional assessment surveys using structured interviews were conducted among communities in Somalia each year from 2007 to 2010. A two-stage cluster sampling methodology was used to select children aged 6-59 months from households across three livelihood zones (pastoral, agro-pastoral and riverine). Predictors of three anthropometric measures, weight-for-height (wasting), height-for-age (stunting) and mid-upper arm circumference, were analysed using Bayesian binomial regression, controlling for both spatial and temporal dependence in the data. SETTING: The study was conducted in randomly sampled villages, representative of three livelihood zones in Somalia. SUBJECTS: Children between the ages of 6 and 59 months in Somalia. RESULTS: The estimated national prevalence of wasting, stunting and low mid-upper arm circumference in children aged 6-59 months was 21 %, 31 % and 36 %, respectively. Although fever, diarrhoea, sex and age of the child, household size and access to foods were significant predictors of malnutrition, the strongest association was observed between all three indicators of malnutrition and the enhanced vegetation index. A 1-unit increase in enhanced vegetation index was associated with a 38 %, 49 % and 59 % reduction in wasting, stunting and low mid-upper arm circumference, respectively. CONCLUSIONS: Infection and climatic variations are likely to be key drivers of malnutrition in Somalia. Better health data and close monitoring and forecasting of droughts may provide valuable information for nutritional intervention planning in Somalia.","author":[{"dropping-particle":"","family":"Kinyoki","given":"Damaris K.","non-dropping-particle":"","parse-names":false,"suffix":""},{"dropping-particle":"","family":"Berkley","given":"James A.","non-dropping-particle":"","parse-names":false,"suffix":""},{"dropping-particle":"","family":"Moloney","given":"Grainne M.","non-dropping-particle":"","parse-names":false,"suffix":""},{"dropping-particle":"","family":"Kandala","given":"Ngianga Bakwin","non-dropping-particle":"","parse-names":false,"suffix":""},{"dropping-particle":"","family":"Noor","given":"Abdisalan M.","non-dropping-particle":"","parse-names":false,"suffix":""}],"container-title":"Public Health Nutrition","id":"ITEM-1","issue":"17","issued":{"date-parts":[["2015"]]},"page":"3125-3133","title":"Predictors of the risk of malnutrition among children under the age of 5 years in Somalia","type":"article-journal","volume":"18"},"uris":["http://www.mendeley.com/documents/?uuid=4f76f268-1df8-4709-ac41-80da9f2c2d2d"]},{"id":"ITEM-2","itemData":{"author":[{"dropping-particle":"","family":"WHO","given":"","non-dropping-particle":"","parse-names":false,"suffix":""}],"id":"ITEM-2","issue":"2","issued":{"date-parts":[["2014"]]},"number-of-pages":"74-76, 78","publisher-place":"Geneva, Switzerland","title":"Global Nutrition Targets 2025 Stunting Policy Brief","type":"report","volume":"122"},"uris":["http://www.mendeley.com/documents/?uuid=3c8fe1ce-e126-451c-bf3e-cc307d2be5ae"]}],"mendeley":{"formattedCitation":"(WHO, 2014; Kinyoki &lt;i&gt;et al.&lt;/i&gt;, 2015)","plainTextFormattedCitation":"(WHO, 2014; Kinyoki et al., 2015)","previouslyFormattedCitation":"(WHO, 2014; Kinyoki &lt;i&gt;et al.&lt;/i&gt;, 2015)"},"properties":{"noteIndex":0},"schema":"https://github.com/citation-style-language/schema/raw/master/csl-citation.json"}</w:instrText>
      </w:r>
      <w:r w:rsidRPr="001C72A7">
        <w:rPr>
          <w:rFonts w:eastAsia="Times New Roman" w:cs="Times New Roman"/>
          <w:sz w:val="22"/>
          <w:szCs w:val="22"/>
          <w:lang w:val="en"/>
        </w:rPr>
        <w:fldChar w:fldCharType="separate"/>
      </w:r>
      <w:r w:rsidRPr="001C72A7">
        <w:rPr>
          <w:rFonts w:eastAsia="Times New Roman" w:cs="Times New Roman"/>
          <w:noProof/>
          <w:sz w:val="22"/>
          <w:szCs w:val="22"/>
          <w:lang w:val="en"/>
        </w:rPr>
        <w:t xml:space="preserve">(WHO, 2014; Kinyoki </w:t>
      </w:r>
      <w:r w:rsidRPr="001C72A7">
        <w:rPr>
          <w:rFonts w:eastAsia="Times New Roman" w:cs="Times New Roman"/>
          <w:i/>
          <w:noProof/>
          <w:sz w:val="22"/>
          <w:szCs w:val="22"/>
          <w:lang w:val="en"/>
        </w:rPr>
        <w:t>et al.</w:t>
      </w:r>
      <w:r w:rsidRPr="001C72A7">
        <w:rPr>
          <w:rFonts w:eastAsia="Times New Roman" w:cs="Times New Roman"/>
          <w:noProof/>
          <w:sz w:val="22"/>
          <w:szCs w:val="22"/>
          <w:lang w:val="en"/>
        </w:rPr>
        <w:t>, 2015)</w:t>
      </w:r>
      <w:r w:rsidRPr="001C72A7">
        <w:rPr>
          <w:rFonts w:eastAsia="Times New Roman" w:cs="Times New Roman"/>
          <w:sz w:val="22"/>
          <w:szCs w:val="22"/>
          <w:lang w:val="en"/>
        </w:rPr>
        <w:fldChar w:fldCharType="end"/>
      </w:r>
      <w:r w:rsidRPr="001C72A7">
        <w:rPr>
          <w:rFonts w:eastAsia="Times New Roman" w:cs="Times New Roman"/>
          <w:sz w:val="22"/>
          <w:szCs w:val="22"/>
          <w:lang w:val="en"/>
        </w:rPr>
        <w:t>, continues to be of concern.  Indeed, the rate of child stunting for sub-Saharan Africa has gone down, from 35.1% in 2015 to 34.1% in 2017. However, stunting is still higher than the average World level, which stands at 22.2%. Specifically, higher rates are observed in Eastern Africa compared to other subregions. The proportion of stunting in Middle Africa is also of concern. As was the case with undernourishment, stunting is especially prevalent in countries experiencing political instability. These data are concerning in that, unlike wasting, evidence indicates that the impacts of stunting on child development (cognitive and physical development) tend to be irreversible after the first 1000 days (about 2.7 years) of a child’s life.</w:t>
      </w:r>
    </w:p>
    <w:p w:rsidR="001C72A7" w:rsidRPr="001C72A7" w:rsidRDefault="001C72A7" w:rsidP="001C72A7">
      <w:pPr>
        <w:spacing w:before="240" w:after="240" w:line="360" w:lineRule="auto"/>
        <w:rPr>
          <w:rFonts w:eastAsia="Times New Roman" w:cs="Times New Roman"/>
          <w:sz w:val="22"/>
          <w:szCs w:val="22"/>
          <w:lang w:val="en"/>
        </w:rPr>
      </w:pPr>
      <w:r w:rsidRPr="001C72A7">
        <w:rPr>
          <w:rFonts w:eastAsia="Times New Roman" w:cs="Times New Roman"/>
          <w:sz w:val="22"/>
          <w:szCs w:val="22"/>
          <w:lang w:val="en"/>
        </w:rPr>
        <w:t xml:space="preserve">With regards to wasting, sub-Saharan Africa has a slightly lower average than the global average (6.9% compared to 7.3%). Within the region, higher rates are reported in Western and Middle Africa respectively. A similar picture is observed with respect to child overweight: sub-Saharan Africa reports lower than the world average (3.9 compared  to 5.80) from 2015-2018. Eastern and Middle Africa report higher than the region’s average of overweight among children under the age of five. This observation is in line with previous research grouping the two indicators under child malnutrition </w:t>
      </w:r>
      <w:r w:rsidRPr="001C72A7">
        <w:rPr>
          <w:rFonts w:eastAsia="Times New Roman" w:cs="Times New Roman"/>
          <w:sz w:val="22"/>
          <w:szCs w:val="22"/>
          <w:lang w:val="en"/>
        </w:rPr>
        <w:fldChar w:fldCharType="begin" w:fldLock="1"/>
      </w:r>
      <w:r w:rsidRPr="001C72A7">
        <w:rPr>
          <w:rFonts w:eastAsia="Times New Roman" w:cs="Times New Roman"/>
          <w:sz w:val="22"/>
          <w:szCs w:val="22"/>
          <w:lang w:val="en"/>
        </w:rPr>
        <w:instrText>ADDIN CSL_CITATION {"citationItems":[{"id":"ITEM-1","itemData":{"DOI":"10.1017/S1368980018002434","ISBN":"1368980018002","ISSN":"14752727","abstract":"Objective Prevalence ranges to classify levels of wasting and stunting have been used since the 1990s for global monitoring of malnutrition. Recent developments prompted a re-examination of existing ranges and development of new ones for childhood overweight. The present paper reports from the WHO–UNICEF Technical Expert Advisory Group on Nutrition Monitoring. Design Thresholds were developed in relation to sd of the normative WHO Child Growth Standards. The international definition of ‘normal’ (2 sd below/above the WHO standards median) defines the first threshold, which includes 2·3 % of the area under the normalized distribution. Multipliers of this ‘very low’ level (rounded to 2·5 %) set the basis to establish subsequent thresholds. Country groupings using the thresholds were produced using the most recent set of national surveys. Setting One hundred and thirty-four countries. Subjects Children under 5 years. Results For wasting and overweight, thresholds are: ‘very low’ (&lt;2·5 %), ‘low’ (≈1–2 times 2·5 %), ‘medium’ (≈2–4 times 2·5 %), ‘high’ (≈4–6 times 2·5 %) and ‘very high’ (&gt;≈6 times 2·5 %). For stunting, thresholds are: ‘very low’ (&lt;2·5 %), ‘low’ (≈1–4 times 2·5 %), ‘medium’ (≈4–8 times 2·5 %), ‘high’ (≈8–12 times 2·5 %) and ‘very high’ (&gt;≈12 times 2·5 %). Conclusions The proposed thresholds minimize changes and keep coherence across anthropometric indicators. They can be used for descriptive purposes to map countries according to severity levels; by donors and global actors to identify priority countries for action; and by governments to trigger action and target programmes aimed at achieving ‘low’ or ‘very low’ levels. Harmonized terminology will help avoid confusion and promote appropriate interventions.","author":[{"dropping-particle":"","family":"Onis","given":"Mercedes","non-dropping-particle":"De","parse-names":false,"suffix":""},{"dropping-particle":"","family":"Borghi","given":"Elaine","non-dropping-particle":"","parse-names":false,"suffix":""},{"dropping-particle":"","family":"Arimond","given":"Mary","non-dropping-particle":"","parse-names":false,"suffix":""},{"dropping-particle":"","family":"Webb","given":"Patrick","non-dropping-particle":"","parse-names":false,"suffix":""},{"dropping-particle":"","family":"Croft","given":"Trevor","non-dropping-particle":"","parse-names":false,"suffix":""},{"dropping-particle":"","family":"Saha","given":"Kuntal","non-dropping-particle":"","parse-names":false,"suffix":""},{"dropping-particle":"","family":"De-Regil","given":"Luz Maria","non-dropping-particle":"","parse-names":false,"suffix":""},{"dropping-particle":"","family":"Thuita","given":"Faith","non-dropping-particle":"","parse-names":false,"suffix":""},{"dropping-particle":"","family":"Heidkamp","given":"Rebecca","non-dropping-particle":"","parse-names":false,"suffix":""},{"dropping-particle":"","family":"Krasevec","given":"Julia","non-dropping-particle":"","parse-names":false,"suffix":""},{"dropping-particle":"","family":"Hayashi","given":"Chika","non-dropping-particle":"","parse-names":false,"suffix":""},{"dropping-particle":"","family":"Flores-Ayala","given":"Rafael","non-dropping-particle":"","parse-names":false,"suffix":""}],"container-title":"Public Health Nutrition","id":"ITEM-1","issue":"1","issued":{"date-parts":[["2019"]]},"page":"175-179","title":"Prevalence thresholds for wasting, overweight and stunting in children under 5 years","type":"article-journal","volume":"22"},"uris":["http://www.mendeley.com/documents/?uuid=a599a6e8-dda5-4967-93a5-62219dfc3e7a"]}],"mendeley":{"formattedCitation":"(De Onis &lt;i&gt;et al.&lt;/i&gt;, 2019)","plainTextFormattedCitation":"(De Onis et al., 2019)","previouslyFormattedCitation":"(De Onis &lt;i&gt;et al.&lt;/i&gt;, 2019)"},"properties":{"noteIndex":0},"schema":"https://github.com/citation-style-language/schema/raw/master/csl-citation.json"}</w:instrText>
      </w:r>
      <w:r w:rsidRPr="001C72A7">
        <w:rPr>
          <w:rFonts w:eastAsia="Times New Roman" w:cs="Times New Roman"/>
          <w:sz w:val="22"/>
          <w:szCs w:val="22"/>
          <w:lang w:val="en"/>
        </w:rPr>
        <w:fldChar w:fldCharType="separate"/>
      </w:r>
      <w:r w:rsidRPr="001C72A7">
        <w:rPr>
          <w:rFonts w:eastAsia="Times New Roman" w:cs="Times New Roman"/>
          <w:noProof/>
          <w:sz w:val="22"/>
          <w:szCs w:val="22"/>
          <w:lang w:val="en"/>
        </w:rPr>
        <w:t xml:space="preserve">(De Onis </w:t>
      </w:r>
      <w:r w:rsidRPr="001C72A7">
        <w:rPr>
          <w:rFonts w:eastAsia="Times New Roman" w:cs="Times New Roman"/>
          <w:i/>
          <w:noProof/>
          <w:sz w:val="22"/>
          <w:szCs w:val="22"/>
          <w:lang w:val="en"/>
        </w:rPr>
        <w:t>et al.</w:t>
      </w:r>
      <w:r w:rsidRPr="001C72A7">
        <w:rPr>
          <w:rFonts w:eastAsia="Times New Roman" w:cs="Times New Roman"/>
          <w:noProof/>
          <w:sz w:val="22"/>
          <w:szCs w:val="22"/>
          <w:lang w:val="en"/>
        </w:rPr>
        <w:t>, 2019)</w:t>
      </w:r>
      <w:r w:rsidRPr="001C72A7">
        <w:rPr>
          <w:rFonts w:eastAsia="Times New Roman" w:cs="Times New Roman"/>
          <w:sz w:val="22"/>
          <w:szCs w:val="22"/>
          <w:lang w:val="en"/>
        </w:rPr>
        <w:fldChar w:fldCharType="end"/>
      </w:r>
      <w:r w:rsidRPr="001C72A7">
        <w:rPr>
          <w:rFonts w:eastAsia="Times New Roman" w:cs="Times New Roman"/>
          <w:sz w:val="22"/>
          <w:szCs w:val="22"/>
          <w:lang w:val="en"/>
        </w:rPr>
        <w:t xml:space="preserve">.  Furthermore, this can be connected to the high levels of undernutrition and stunting reported by Eastern and Middle Africa respectively. </w:t>
      </w:r>
    </w:p>
    <w:p w:rsidR="001C72A7" w:rsidRPr="001C72A7" w:rsidRDefault="001C72A7" w:rsidP="00215F0B">
      <w:pPr>
        <w:spacing w:line="360" w:lineRule="auto"/>
        <w:rPr>
          <w:rFonts w:eastAsia="Times New Roman" w:cs="Times New Roman"/>
          <w:b/>
          <w:sz w:val="22"/>
          <w:szCs w:val="22"/>
          <w:highlight w:val="yellow"/>
          <w:lang w:val="en"/>
        </w:rPr>
      </w:pPr>
      <w:r w:rsidRPr="001C72A7">
        <w:rPr>
          <w:rFonts w:eastAsia="Times New Roman" w:cs="Times New Roman"/>
          <w:b/>
          <w:sz w:val="22"/>
          <w:szCs w:val="22"/>
          <w:lang w:val="en"/>
        </w:rPr>
        <w:t>Imp</w:t>
      </w:r>
      <w:r w:rsidRPr="00215F0B">
        <w:rPr>
          <w:rFonts w:eastAsia="Times New Roman" w:cs="Times New Roman"/>
          <w:b/>
          <w:sz w:val="22"/>
          <w:szCs w:val="22"/>
          <w:lang w:val="en"/>
        </w:rPr>
        <w:t>lications: Policy, Practice and</w:t>
      </w:r>
      <w:r w:rsidRPr="001C72A7">
        <w:rPr>
          <w:rFonts w:eastAsia="Times New Roman" w:cs="Times New Roman"/>
          <w:b/>
          <w:sz w:val="22"/>
          <w:szCs w:val="22"/>
          <w:lang w:val="en"/>
        </w:rPr>
        <w:t>Scholarship</w:t>
      </w:r>
    </w:p>
    <w:p w:rsidR="001C72A7" w:rsidRPr="001C72A7" w:rsidRDefault="001C72A7" w:rsidP="001C72A7">
      <w:pPr>
        <w:pBdr>
          <w:bottom w:val="none" w:sz="0" w:space="1" w:color="000000"/>
        </w:pBdr>
        <w:spacing w:before="160" w:line="360" w:lineRule="auto"/>
        <w:ind w:right="160"/>
        <w:rPr>
          <w:rFonts w:eastAsia="Times New Roman" w:cs="Times New Roman"/>
          <w:sz w:val="22"/>
          <w:szCs w:val="22"/>
          <w:highlight w:val="white"/>
          <w:lang w:val="en"/>
        </w:rPr>
      </w:pPr>
      <w:r w:rsidRPr="001C72A7">
        <w:rPr>
          <w:rFonts w:eastAsia="Times New Roman" w:cs="Times New Roman"/>
          <w:sz w:val="22"/>
          <w:szCs w:val="22"/>
          <w:lang w:val="en"/>
        </w:rPr>
        <w:t xml:space="preserve">This study set out to </w:t>
      </w:r>
      <w:r w:rsidRPr="001C72A7">
        <w:rPr>
          <w:rFonts w:eastAsia="Times New Roman" w:cs="Times New Roman"/>
          <w:sz w:val="22"/>
          <w:szCs w:val="22"/>
          <w:highlight w:val="white"/>
          <w:lang w:val="en"/>
        </w:rPr>
        <w:t xml:space="preserve">highlight progress or lack thereof, with respect to four of the nine indicators under SDG2 (Zero Hunger) - Prevalence of undernourishment, Prevalence of stunting, Prevalence of malnutrition, and Prevalence of food insecurity - with respect to child hunger in sub-Saharan Africa. A number of implications are suggested to guide scholarship, practice and policy decisions. With regards to policy, one way to mitigate food insecurity and promote child wellbeing would be enactment of </w:t>
      </w:r>
      <w:r w:rsidRPr="001C72A7">
        <w:rPr>
          <w:rFonts w:eastAsia="Times New Roman" w:cs="Times New Roman"/>
          <w:sz w:val="22"/>
          <w:szCs w:val="22"/>
          <w:lang w:val="en"/>
        </w:rPr>
        <w:t xml:space="preserve">agric-friendly, pro poor policies that focus on food security and the promotion of human dignity such as weather based indexing and insurance, fisheries co-management, including programs such as the Homestead Food Production model in Nigeria might go a long way in advancing positive child outcomes </w:t>
      </w:r>
      <w:r w:rsidRPr="001C72A7">
        <w:rPr>
          <w:rFonts w:eastAsia="Times New Roman" w:cs="Times New Roman"/>
          <w:sz w:val="22"/>
          <w:szCs w:val="22"/>
          <w:lang w:val="en"/>
        </w:rPr>
        <w:fldChar w:fldCharType="begin" w:fldLock="1"/>
      </w:r>
      <w:r w:rsidRPr="001C72A7">
        <w:rPr>
          <w:rFonts w:eastAsia="Times New Roman" w:cs="Times New Roman"/>
          <w:sz w:val="22"/>
          <w:szCs w:val="22"/>
          <w:lang w:val="en"/>
        </w:rPr>
        <w:instrText>ADDIN CSL_CITATION {"citationItems":[{"id":"ITEM-1","itemData":{"ISSN":"1867-8521","abstract":"Introduction: The African Union and United Nations agencies requested that children under five years and pregnant women be exempt from healthcare payment at the point of service. Indeed, this payment method is a financial barrier to healthcare access that the most vulnerable populations cannot overcome. Since Burkina Faso had not yet implemented such a policy, an experiment was undertaken starting in 2008 in two districts of the Sahel region in order to produce evidence.Methods: A research programme was organised in order to evaluate the effectiveness, equity, processes, costs and social effects of this experiment. Twelve studies were undertaken that used a concurrent mixed method design with data collected from individuals, households, health centres and villages. Results: The experiment was integrated into the health system and was fully appreciated by all. The third-party payer system was effective. Pregnant women and children under the age of five years had faster and broader access to the health system. The poorest among them substantially benefited from the intervention. The quality of care was sustained and costs were controlled.Conclusion: Since equity is a priority for the government and its financial partners, the research results suggest that exemption should be extended to the national level and that measures should be organised to break down the geographic barrier.Introduction : L?Union Africaine et les agences des Nations Unies réclament que les enfants de moins de cinq ans et les femmes enceintes soient exemptés du paiement des soins au point de service. En effet, cette modalité de paiement impose une barrière financière à l?accès aux soins que les plus vulnérables ne peuvent surmonter. Puisque le Burkina Faso ne s?est pas encore engagé dans une telle politique, une expérimentation a été mise en ?uvre depuis 2008 dans deux districts du Sahel afin de produire des preuves sur cette stratégie.Méthodes : Un programme de recherches a été organisé afin d?évaluer l?efficacité, l?équité, les processus, les coûts et les effets sociaux de cette expérimentation. Douze études ont été entreprises en ayant recours à un devis mixte concomitant usant de données collectées auprès des individus, des ménages, des centres de santé et des villages. Résultats : L?expérimentation s?est intégrée au système de santé et a été bien appréciée par tous. Le système de tiers-payeur a été efficace. Les femmes enceintes et les enfants de moins de cinq ont eu recours plus…","author":[{"dropping-particle":"","family":"Talukder","given":"A.","non-dropping-particle":"","parse-names":false,"suffix":""},{"dropping-particle":"","family":"Haselow","given":"N.","non-dropping-particle":"","parse-names":false,"suffix":""},{"dropping-particle":"","family":"Osei","given":"A.","non-dropping-particle":"","parse-names":false,"suffix":""},{"dropping-particle":"","family":"Villate","given":"E.","non-dropping-particle":"","parse-names":false,"suffix":""},{"dropping-particle":"","family":"Reario","given":"D.","non-dropping-particle":"","parse-names":false,"suffix":""},{"dropping-particle":"","family":"Kroeun","given":"H.","non-dropping-particle":"","parse-names":false,"suffix":""},{"dropping-particle":"","family":"SokHoing","given":"L.","non-dropping-particle":"","parse-names":false,"suffix":""},{"dropping-particle":"","family":"Uddin","given":"A.","non-dropping-particle":"","parse-names":false,"suffix":""},{"dropping-particle":"","family":"Dhunge","given":"S.","non-dropping-particle":"","parse-names":false,"suffix":""},{"dropping-particle":"","family":"Quinn","given":"V.","non-dropping-particle":"","parse-names":false,"suffix":""}],"container-title":"Field Actions Science Reports. The journal of field actions","id":"ITEM-1","issue":"Special Issue 1","issued":{"date-parts":[["2010"]]},"page":"0-9","title":"Homestead food production model contributes to improved household food security and nutrition status of young children and women in poor populations. lessons learned from scaling-up programs in Asia (Bangladesh, Cambodia, Nepal and Philippines)","type":"article-journal"},"uris":["http://www.mendeley.com/documents/?uuid=edc8f574-c4e1-4aaf-b529-e637f3966b61"]},{"id":"ITEM-2","itemData":{"ISBN":"3333333333","author":[{"dropping-particle":"","family":"CPAN","given":"","non-dropping-particle":"","parse-names":false,"suffix":""}],"id":"ITEM-2","issued":{"date-parts":[["2012"]]},"publisher-place":"London","title":"Agriculture Policy Guide, Meeting the challenge of a new pro-poor agricultural paradigm: The role of agricultural policies and programmes","type":"report"},"uris":["http://www.mendeley.com/documents/?uuid=9662a302-4d6e-48d7-bbb4-18f4eb60d4e9"]},{"id":"ITEM-3","itemData":{"DOI":"10.1080/09614524.2018.1512952","ISSN":"0961-4524","author":[{"dropping-particle":"","family":"Bahta","given":"Yonas T","non-dropping-particle":"","parse-names":false,"suffix":""},{"dropping-particle":"","family":"Owusu-Sekyere","given":"Enoch","non-dropping-particle":"","parse-names":false,"suffix":""},{"dropping-particle":"","family":"Tlalang","given":"Boipelo","non-dropping-particle":"","parse-names":false,"suffix":""}],"container-title":"Development in Practice","id":"ITEM-3","issue":"1","issued":{"date-parts":[["2019","1","2"]]},"note":"doi: 10.1080/09614524.2018.1512952","page":"3-14","publisher":"Routledge","title":"Does women’s empowerment through policy intervention reduce food insecurity in South Africa?","type":"article-journal","volume":"29"},"uris":["http://www.mendeley.com/documents/?uuid=6f761c5b-8106-4272-884e-abe92e98b499"]},{"id":"ITEM-4","itemData":{"ISBN":"9789251318218","author":[{"dropping-particle":"","family":"FAO","given":"","non-dropping-particle":"","parse-names":false,"suffix":""}],"id":"ITEM-4","issued":{"date-parts":[["2019"]]},"title":"Fifteen years implementing the Right to Food Guidelines - Reviewing progress to achieve the 2030 Agenda","type":"book"},"uris":["http://www.mendeley.com/documents/?uuid=0fb3045a-1a66-48ba-8753-bb4df60502ca"]}],"mendeley":{"formattedCitation":"(Talukder &lt;i&gt;et al.&lt;/i&gt;, 2010; CPAN, 2012; Bahta, Owusu-Sekyere and Tlalang, 2019; FAO, 2019)","plainTextFormattedCitation":"(Talukder et al., 2010; CPAN, 2012; Bahta, Owusu-Sekyere and Tlalang, 2019; FAO, 2019)","previouslyFormattedCitation":"(Talukder &lt;i&gt;et al.&lt;/i&gt;, 2010; CPAN, 2012; Bahta, Owusu-Sekyere and Tlalang, 2019; FAO, 2019)"},"properties":{"noteIndex":0},"schema":"https://github.com/citation-style-language/schema/raw/master/csl-citation.json"}</w:instrText>
      </w:r>
      <w:r w:rsidRPr="001C72A7">
        <w:rPr>
          <w:rFonts w:eastAsia="Times New Roman" w:cs="Times New Roman"/>
          <w:sz w:val="22"/>
          <w:szCs w:val="22"/>
          <w:lang w:val="en"/>
        </w:rPr>
        <w:fldChar w:fldCharType="separate"/>
      </w:r>
      <w:r w:rsidRPr="001C72A7">
        <w:rPr>
          <w:rFonts w:eastAsia="Times New Roman" w:cs="Times New Roman"/>
          <w:noProof/>
          <w:sz w:val="22"/>
          <w:szCs w:val="22"/>
          <w:lang w:val="en"/>
        </w:rPr>
        <w:t xml:space="preserve">(Talukder </w:t>
      </w:r>
      <w:r w:rsidRPr="001C72A7">
        <w:rPr>
          <w:rFonts w:eastAsia="Times New Roman" w:cs="Times New Roman"/>
          <w:i/>
          <w:noProof/>
          <w:sz w:val="22"/>
          <w:szCs w:val="22"/>
          <w:lang w:val="en"/>
        </w:rPr>
        <w:t>et al.</w:t>
      </w:r>
      <w:r w:rsidRPr="001C72A7">
        <w:rPr>
          <w:rFonts w:eastAsia="Times New Roman" w:cs="Times New Roman"/>
          <w:noProof/>
          <w:sz w:val="22"/>
          <w:szCs w:val="22"/>
          <w:lang w:val="en"/>
        </w:rPr>
        <w:t>, 2010; CPAN, 2012; Bahta, Owusu-Sekyere and Tlalang, 2019; FAO, 2019)</w:t>
      </w:r>
      <w:r w:rsidRPr="001C72A7">
        <w:rPr>
          <w:rFonts w:eastAsia="Times New Roman" w:cs="Times New Roman"/>
          <w:sz w:val="22"/>
          <w:szCs w:val="22"/>
          <w:lang w:val="en"/>
        </w:rPr>
        <w:fldChar w:fldCharType="end"/>
      </w:r>
      <w:r w:rsidRPr="001C72A7">
        <w:rPr>
          <w:rFonts w:eastAsia="Times New Roman" w:cs="Times New Roman"/>
          <w:sz w:val="22"/>
          <w:szCs w:val="22"/>
          <w:highlight w:val="white"/>
          <w:lang w:val="en"/>
        </w:rPr>
        <w:t xml:space="preserve">. Through the Malabo Declaration of 2014, the African Union Commission (AUC) reaffirmed their commitment to comprehensive agriculture reform articulated in the Comprehensive Africa Agriculture Development Programme (CAADP) a decade earlier. They also urged their countries to end hunger and halve poverty by 2025. Part of this commitment entails enhancing the resilience of livelihoods and food production systems to climate change and other political and economic shocks </w:t>
      </w:r>
      <w:r w:rsidRPr="001C72A7">
        <w:rPr>
          <w:rFonts w:eastAsia="Times New Roman" w:cs="Times New Roman"/>
          <w:sz w:val="22"/>
          <w:szCs w:val="22"/>
          <w:highlight w:val="white"/>
          <w:lang w:val="en"/>
        </w:rPr>
        <w:fldChar w:fldCharType="begin" w:fldLock="1"/>
      </w:r>
      <w:r w:rsidRPr="001C72A7">
        <w:rPr>
          <w:rFonts w:eastAsia="Times New Roman" w:cs="Times New Roman"/>
          <w:sz w:val="22"/>
          <w:szCs w:val="22"/>
          <w:highlight w:val="white"/>
          <w:lang w:val="en"/>
        </w:rPr>
        <w:instrText>ADDIN CSL_CITATION {"citationItems":[{"id":"ITEM-1","itemData":{"author":[{"dropping-particle":"","family":"AUC","given":"","non-dropping-particle":"","parse-names":false,"suffix":""}],"container-title":"Addis Ababa, Ethiopia: AUC","id":"ITEM-1","issued":{"date-parts":[["2014"]]},"title":"Malabo Declaration on Accelerated Agricultural Growth and Transformation for Shared Prosperity and Improved Livelihoods","type":"article-journal"},"uris":["http://www.mendeley.com/documents/?uuid=fda558e2-5634-46a0-95c6-7c150f85453a"]}],"mendeley":{"formattedCitation":"(AUC, 2014)","plainTextFormattedCitation":"(AUC, 2014)","previouslyFormattedCitation":"(AUC, 2014)"},"properties":{"noteIndex":0},"schema":"https://github.com/citation-style-language/schema/raw/master/csl-citation.json"}</w:instrText>
      </w:r>
      <w:r w:rsidRPr="001C72A7">
        <w:rPr>
          <w:rFonts w:eastAsia="Times New Roman" w:cs="Times New Roman"/>
          <w:sz w:val="22"/>
          <w:szCs w:val="22"/>
          <w:highlight w:val="white"/>
          <w:lang w:val="en"/>
        </w:rPr>
        <w:fldChar w:fldCharType="separate"/>
      </w:r>
      <w:r w:rsidRPr="001C72A7">
        <w:rPr>
          <w:rFonts w:eastAsia="Times New Roman" w:cs="Times New Roman"/>
          <w:noProof/>
          <w:sz w:val="22"/>
          <w:szCs w:val="22"/>
          <w:highlight w:val="white"/>
          <w:lang w:val="en"/>
        </w:rPr>
        <w:t>(AUC, 2014)</w:t>
      </w:r>
      <w:r w:rsidRPr="001C72A7">
        <w:rPr>
          <w:rFonts w:eastAsia="Times New Roman" w:cs="Times New Roman"/>
          <w:sz w:val="22"/>
          <w:szCs w:val="22"/>
          <w:highlight w:val="white"/>
          <w:lang w:val="en"/>
        </w:rPr>
        <w:fldChar w:fldCharType="end"/>
      </w:r>
      <w:r w:rsidRPr="001C72A7">
        <w:rPr>
          <w:rFonts w:eastAsia="Times New Roman" w:cs="Times New Roman"/>
          <w:sz w:val="22"/>
          <w:szCs w:val="22"/>
          <w:highlight w:val="white"/>
          <w:lang w:val="en"/>
        </w:rPr>
        <w:t xml:space="preserve">. </w:t>
      </w:r>
    </w:p>
    <w:p w:rsidR="001C72A7" w:rsidRPr="001C72A7" w:rsidRDefault="001C72A7" w:rsidP="001C72A7">
      <w:pPr>
        <w:spacing w:line="360" w:lineRule="auto"/>
        <w:rPr>
          <w:rFonts w:eastAsia="Times New Roman" w:cs="Times New Roman"/>
          <w:sz w:val="22"/>
          <w:szCs w:val="22"/>
          <w:lang w:val="en"/>
        </w:rPr>
      </w:pPr>
      <w:r w:rsidRPr="001C72A7">
        <w:rPr>
          <w:rFonts w:eastAsia="Times New Roman" w:cs="Times New Roman"/>
          <w:sz w:val="22"/>
          <w:szCs w:val="22"/>
          <w:lang w:val="en"/>
        </w:rPr>
        <w:t>In terms of scholarship</w:t>
      </w:r>
      <w:r w:rsidRPr="001C72A7">
        <w:rPr>
          <w:rFonts w:eastAsia="Times New Roman" w:cs="Times New Roman"/>
          <w:b/>
          <w:sz w:val="22"/>
          <w:szCs w:val="22"/>
          <w:lang w:val="en"/>
        </w:rPr>
        <w:t xml:space="preserve">, </w:t>
      </w:r>
      <w:r w:rsidRPr="001C72A7">
        <w:rPr>
          <w:rFonts w:eastAsia="Times New Roman" w:cs="Times New Roman"/>
          <w:sz w:val="22"/>
          <w:szCs w:val="22"/>
          <w:lang w:val="en"/>
        </w:rPr>
        <w:t>there remains the need f</w:t>
      </w:r>
      <w:r w:rsidR="00215F0B">
        <w:rPr>
          <w:rFonts w:eastAsia="Times New Roman" w:cs="Times New Roman"/>
          <w:sz w:val="22"/>
          <w:szCs w:val="22"/>
          <w:lang w:val="en"/>
        </w:rPr>
        <w:t>or urgent efforts to strengthen</w:t>
      </w:r>
      <w:r w:rsidRPr="001C72A7">
        <w:rPr>
          <w:rFonts w:eastAsia="Times New Roman" w:cs="Times New Roman"/>
          <w:sz w:val="22"/>
          <w:szCs w:val="22"/>
          <w:highlight w:val="white"/>
          <w:lang w:val="en"/>
        </w:rPr>
        <w:t xml:space="preserve"> mechanisms for tracking the milestones realized within the SDG agenda using rigorous statistical procedures. This may involve looking </w:t>
      </w:r>
      <w:r w:rsidRPr="001C72A7">
        <w:rPr>
          <w:rFonts w:eastAsia="Times New Roman" w:cs="Times New Roman"/>
          <w:sz w:val="22"/>
          <w:szCs w:val="22"/>
          <w:lang w:val="en"/>
        </w:rPr>
        <w:t>beyond outcomes, to thinking broadly about the correlates of child hunger and malnutrition. The pathways framework may be useful in framing a contextual understanding of the issue. This framework may also be effective in highlighting crit</w:t>
      </w:r>
      <w:r w:rsidR="00215F0B">
        <w:rPr>
          <w:rFonts w:eastAsia="Times New Roman" w:cs="Times New Roman"/>
          <w:sz w:val="22"/>
          <w:szCs w:val="22"/>
          <w:lang w:val="en"/>
        </w:rPr>
        <w:t xml:space="preserve">ical intervention points at the </w:t>
      </w:r>
      <w:r w:rsidRPr="001C72A7">
        <w:rPr>
          <w:rFonts w:eastAsia="Times New Roman" w:cs="Times New Roman"/>
          <w:sz w:val="22"/>
          <w:szCs w:val="22"/>
          <w:lang w:val="en"/>
        </w:rPr>
        <w:t>contextual/environmental, caregiver or nutritional levels. For example, as suggested by the literature, improving maternal health may be an effective way of addressing child nutrition and other outcomes. Doing this effectively, requires creativity in working with limited data which is reflective of the social reality in sub-Saharan Africa. This observation underscores the need for research collaboration between government agencies and institutions of higher learning to enhance the rigor of research and support collection of comprehensive data. Generally,</w:t>
      </w:r>
      <w:r w:rsidRPr="001C72A7">
        <w:rPr>
          <w:rFonts w:eastAsia="Times New Roman" w:cs="Times New Roman"/>
          <w:b/>
          <w:sz w:val="22"/>
          <w:szCs w:val="22"/>
          <w:lang w:val="en"/>
        </w:rPr>
        <w:t xml:space="preserve"> </w:t>
      </w:r>
      <w:r w:rsidRPr="001C72A7">
        <w:rPr>
          <w:rFonts w:eastAsia="Times New Roman" w:cs="Times New Roman"/>
          <w:sz w:val="22"/>
          <w:szCs w:val="22"/>
          <w:lang w:val="en"/>
        </w:rPr>
        <w:t xml:space="preserve">practitioners tend to focus on outcomes and interventions connected to these outcomes. However, the pathways framework to food insecurity suggest indirect leverage points. Overcoming child-level adverse outcomes may also require a reframing of mindsets at the community level - this may involve addressing the culture of vulnerability and dependence that characterize many communities in sub-Saharan Africa. </w:t>
      </w:r>
    </w:p>
    <w:p w:rsidR="001C72A7" w:rsidRPr="001C72A7" w:rsidRDefault="001C72A7" w:rsidP="001C72A7">
      <w:pPr>
        <w:spacing w:line="360" w:lineRule="auto"/>
        <w:rPr>
          <w:rFonts w:eastAsia="Times New Roman" w:cs="Times New Roman"/>
          <w:sz w:val="22"/>
          <w:szCs w:val="22"/>
          <w:lang w:val="en"/>
        </w:rPr>
      </w:pPr>
      <w:r w:rsidRPr="001C72A7">
        <w:rPr>
          <w:rFonts w:eastAsia="Times New Roman" w:cs="Times New Roman"/>
          <w:sz w:val="22"/>
          <w:szCs w:val="22"/>
          <w:lang w:val="en"/>
        </w:rPr>
        <w:t xml:space="preserve">In closing, we acknowledge the modest scope of this exploratory descriptive study, to benchmark and highlight progress or lack thereof, with respect to four of the nine indicators under SDG2 (Zero Hunger) - Prevalence of undernourishment, Prevalence of stunting, Prevalence of malnutrition, and Prevalence of food insecurity in sub-Saharan Africa. Observations made in this study draw attention to the issue of hunger and malnutrition among children in sub-Saharan Africa; the leading cause of death among children under the age of five </w:t>
      </w:r>
      <w:r w:rsidRPr="001C72A7">
        <w:rPr>
          <w:rFonts w:eastAsia="Times New Roman" w:cs="Times New Roman"/>
          <w:sz w:val="22"/>
          <w:szCs w:val="22"/>
          <w:lang w:val="en"/>
        </w:rPr>
        <w:fldChar w:fldCharType="begin" w:fldLock="1"/>
      </w:r>
      <w:r w:rsidRPr="001C72A7">
        <w:rPr>
          <w:rFonts w:eastAsia="Times New Roman" w:cs="Times New Roman"/>
          <w:sz w:val="22"/>
          <w:szCs w:val="22"/>
          <w:lang w:val="en"/>
        </w:rPr>
        <w:instrText>ADDIN CSL_CITATION {"citationItems":[{"id":"ITEM-1","itemData":{"DOI":"https://doi.org/10.1371/journal. pone.0177338","ISBN":"1111111111","PMID":"12178516","author":[{"dropping-particle":"","family":"Akombi","given":"Blessing J.","non-dropping-particle":"","parse-names":false,"suffix":""},{"dropping-particle":"","family":"Agho","given":"Kingsley E.","non-dropping-particle":"","parse-names":false,"suffix":""},{"dropping-particle":"","family":"Merom","given":"Dafna","non-dropping-particle":"","parse-names":false,"suffix":""},{"dropping-particle":"","family":"Renzaho","given":"Andre M.","non-dropping-particle":"","parse-names":false,"suffix":""},{"dropping-particle":"","family":"Hall","given":"John J.","non-dropping-particle":"","parse-names":false,"suffix":""}],"container-title":"PLoS ONE","id":"ITEM-1","issue":"5","issued":{"date-parts":[["2017"]]},"title":"Child malnutrition in sub-Saharan Africa: A meta-analysis of demographic and health surveys (2006-2016)","type":"article-journal","volume":"12"},"uris":["http://www.mendeley.com/documents/?uuid=c619500c-0d21-4323-937f-82954cca6b7c"]}],"mendeley":{"formattedCitation":"(Akombi &lt;i&gt;et al.&lt;/i&gt;, 2017)","plainTextFormattedCitation":"(Akombi et al., 2017)","previouslyFormattedCitation":"(Akombi &lt;i&gt;et al.&lt;/i&gt;, 2017)"},"properties":{"noteIndex":0},"schema":"https://github.com/citation-style-language/schema/raw/master/csl-citation.json"}</w:instrText>
      </w:r>
      <w:r w:rsidRPr="001C72A7">
        <w:rPr>
          <w:rFonts w:eastAsia="Times New Roman" w:cs="Times New Roman"/>
          <w:sz w:val="22"/>
          <w:szCs w:val="22"/>
          <w:lang w:val="en"/>
        </w:rPr>
        <w:fldChar w:fldCharType="separate"/>
      </w:r>
      <w:r w:rsidRPr="001C72A7">
        <w:rPr>
          <w:rFonts w:eastAsia="Times New Roman" w:cs="Times New Roman"/>
          <w:noProof/>
          <w:sz w:val="22"/>
          <w:szCs w:val="22"/>
          <w:lang w:val="en"/>
        </w:rPr>
        <w:t xml:space="preserve">(Akombi </w:t>
      </w:r>
      <w:r w:rsidRPr="001C72A7">
        <w:rPr>
          <w:rFonts w:eastAsia="Times New Roman" w:cs="Times New Roman"/>
          <w:i/>
          <w:noProof/>
          <w:sz w:val="22"/>
          <w:szCs w:val="22"/>
          <w:lang w:val="en"/>
        </w:rPr>
        <w:t>et al.</w:t>
      </w:r>
      <w:r w:rsidRPr="001C72A7">
        <w:rPr>
          <w:rFonts w:eastAsia="Times New Roman" w:cs="Times New Roman"/>
          <w:noProof/>
          <w:sz w:val="22"/>
          <w:szCs w:val="22"/>
          <w:lang w:val="en"/>
        </w:rPr>
        <w:t>, 2017)</w:t>
      </w:r>
      <w:r w:rsidRPr="001C72A7">
        <w:rPr>
          <w:rFonts w:eastAsia="Times New Roman" w:cs="Times New Roman"/>
          <w:sz w:val="22"/>
          <w:szCs w:val="22"/>
          <w:lang w:val="en"/>
        </w:rPr>
        <w:fldChar w:fldCharType="end"/>
      </w:r>
      <w:r w:rsidRPr="001C72A7">
        <w:rPr>
          <w:rFonts w:eastAsia="Times New Roman" w:cs="Times New Roman"/>
          <w:sz w:val="22"/>
          <w:szCs w:val="22"/>
          <w:lang w:val="en"/>
        </w:rPr>
        <w:t>. Further, observations made in this study call to action social actors including civil society and particularly the profession of social work by drawing attention to time sensitive targets set by the SDGs agenda on amelioration of the problem of hunger and malnutrition especially among children under the age of five. Social Workers are well positioned to guide this effort through practice, scholarship and policy advocacy and reaffirming our professional commitment to social justice, dignity, and the worth of a person beginning with early childhood.</w:t>
      </w:r>
    </w:p>
    <w:p w:rsidR="001C72A7" w:rsidRPr="001C72A7" w:rsidRDefault="001C72A7" w:rsidP="00215F0B">
      <w:pPr>
        <w:spacing w:before="240" w:after="240" w:line="360" w:lineRule="auto"/>
        <w:rPr>
          <w:rFonts w:eastAsia="Times New Roman" w:cs="Times New Roman"/>
          <w:b/>
          <w:sz w:val="22"/>
          <w:szCs w:val="22"/>
          <w:lang w:val="en"/>
        </w:rPr>
      </w:pPr>
      <w:r w:rsidRPr="001C72A7">
        <w:rPr>
          <w:rFonts w:eastAsia="Times New Roman" w:cs="Times New Roman"/>
          <w:b/>
          <w:sz w:val="22"/>
          <w:szCs w:val="22"/>
          <w:lang w:val="en"/>
        </w:rPr>
        <w:t>References</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Times New Roman" w:cs="Times New Roman"/>
          <w:b/>
          <w:sz w:val="22"/>
          <w:szCs w:val="22"/>
          <w:lang w:val="en"/>
        </w:rPr>
        <w:fldChar w:fldCharType="begin" w:fldLock="1"/>
      </w:r>
      <w:r w:rsidRPr="001C72A7">
        <w:rPr>
          <w:rFonts w:eastAsia="Times New Roman" w:cs="Times New Roman"/>
          <w:b/>
          <w:sz w:val="22"/>
          <w:szCs w:val="22"/>
          <w:lang w:val="en"/>
        </w:rPr>
        <w:instrText xml:space="preserve">ADDIN Mendeley Bibliography CSL_BIBLIOGRAPHY </w:instrText>
      </w:r>
      <w:r w:rsidRPr="001C72A7">
        <w:rPr>
          <w:rFonts w:eastAsia="Times New Roman" w:cs="Times New Roman"/>
          <w:b/>
          <w:sz w:val="22"/>
          <w:szCs w:val="22"/>
          <w:lang w:val="en"/>
        </w:rPr>
        <w:fldChar w:fldCharType="separate"/>
      </w:r>
      <w:r w:rsidRPr="001C72A7">
        <w:rPr>
          <w:rFonts w:eastAsia="Arial" w:cs="Times New Roman"/>
          <w:noProof/>
          <w:sz w:val="22"/>
          <w:szCs w:val="22"/>
          <w:lang w:val="en"/>
        </w:rPr>
        <w:t xml:space="preserve">Akombi, B. J. </w:t>
      </w:r>
      <w:r w:rsidRPr="001C72A7">
        <w:rPr>
          <w:rFonts w:eastAsia="Arial" w:cs="Times New Roman"/>
          <w:i/>
          <w:iCs/>
          <w:noProof/>
          <w:sz w:val="22"/>
          <w:szCs w:val="22"/>
          <w:lang w:val="en"/>
        </w:rPr>
        <w:t>et al.</w:t>
      </w:r>
      <w:r w:rsidRPr="001C72A7">
        <w:rPr>
          <w:rFonts w:eastAsia="Arial" w:cs="Times New Roman"/>
          <w:noProof/>
          <w:sz w:val="22"/>
          <w:szCs w:val="22"/>
          <w:lang w:val="en"/>
        </w:rPr>
        <w:t xml:space="preserve"> (2017) ‘Child malnutrition in sub-Saharan Africa: A meta-analysis of demographic and health surveys (2006-2016)’, </w:t>
      </w:r>
      <w:r w:rsidRPr="001C72A7">
        <w:rPr>
          <w:rFonts w:eastAsia="Arial" w:cs="Times New Roman"/>
          <w:i/>
          <w:iCs/>
          <w:noProof/>
          <w:sz w:val="22"/>
          <w:szCs w:val="22"/>
          <w:lang w:val="en"/>
        </w:rPr>
        <w:t>PLoS ONE</w:t>
      </w:r>
      <w:r w:rsidRPr="001C72A7">
        <w:rPr>
          <w:rFonts w:eastAsia="Arial" w:cs="Times New Roman"/>
          <w:noProof/>
          <w:sz w:val="22"/>
          <w:szCs w:val="22"/>
          <w:lang w:val="en"/>
        </w:rPr>
        <w:t>, 12(5). doi: https://doi.org/10.1371/journal. pone.0177338.</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AUC (2014) ‘Malabo Declaration on Accelerated Agricultural Growth and Transformation for Shared Prosperity and Improved Livelihoods’, </w:t>
      </w:r>
      <w:r w:rsidRPr="001C72A7">
        <w:rPr>
          <w:rFonts w:eastAsia="Arial" w:cs="Times New Roman"/>
          <w:i/>
          <w:iCs/>
          <w:noProof/>
          <w:sz w:val="22"/>
          <w:szCs w:val="22"/>
          <w:lang w:val="en"/>
        </w:rPr>
        <w:t>Addis Ababa, Ethiopia: AUC</w:t>
      </w:r>
      <w:r w:rsidRPr="001C72A7">
        <w:rPr>
          <w:rFonts w:eastAsia="Arial" w:cs="Times New Roman"/>
          <w:noProof/>
          <w:sz w:val="22"/>
          <w:szCs w:val="22"/>
          <w:lang w:val="en"/>
        </w:rPr>
        <w:t>.</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Bahta, Y. T., Owusu-Sekyere, E. and Tlalang, B. (2019) ‘Does women’s empowerment through policy intervention reduce food insecurity in South Africa?’, </w:t>
      </w:r>
      <w:r w:rsidRPr="001C72A7">
        <w:rPr>
          <w:rFonts w:eastAsia="Arial" w:cs="Times New Roman"/>
          <w:i/>
          <w:iCs/>
          <w:noProof/>
          <w:sz w:val="22"/>
          <w:szCs w:val="22"/>
          <w:lang w:val="en"/>
        </w:rPr>
        <w:t>Development in Practice</w:t>
      </w:r>
      <w:r w:rsidRPr="001C72A7">
        <w:rPr>
          <w:rFonts w:eastAsia="Arial" w:cs="Times New Roman"/>
          <w:noProof/>
          <w:sz w:val="22"/>
          <w:szCs w:val="22"/>
          <w:lang w:val="en"/>
        </w:rPr>
        <w:t>. Routledge, 29(1), pp. 3–14. doi: 10.1080/09614524.2018.1512952.</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Bhutta, Z. A. </w:t>
      </w:r>
      <w:r w:rsidRPr="001C72A7">
        <w:rPr>
          <w:rFonts w:eastAsia="Arial" w:cs="Times New Roman"/>
          <w:i/>
          <w:iCs/>
          <w:noProof/>
          <w:sz w:val="22"/>
          <w:szCs w:val="22"/>
          <w:lang w:val="en"/>
        </w:rPr>
        <w:t>et al.</w:t>
      </w:r>
      <w:r w:rsidRPr="001C72A7">
        <w:rPr>
          <w:rFonts w:eastAsia="Arial" w:cs="Times New Roman"/>
          <w:noProof/>
          <w:sz w:val="22"/>
          <w:szCs w:val="22"/>
          <w:lang w:val="en"/>
        </w:rPr>
        <w:t xml:space="preserve"> (2013) ‘Evidence-based interventions for improvement of maternal and child nutrition: What can be done and at what cost?’, </w:t>
      </w:r>
      <w:r w:rsidRPr="001C72A7">
        <w:rPr>
          <w:rFonts w:eastAsia="Arial" w:cs="Times New Roman"/>
          <w:i/>
          <w:iCs/>
          <w:noProof/>
          <w:sz w:val="22"/>
          <w:szCs w:val="22"/>
          <w:lang w:val="en"/>
        </w:rPr>
        <w:t>The Lancet</w:t>
      </w:r>
      <w:r w:rsidRPr="001C72A7">
        <w:rPr>
          <w:rFonts w:eastAsia="Arial" w:cs="Times New Roman"/>
          <w:noProof/>
          <w:sz w:val="22"/>
          <w:szCs w:val="22"/>
          <w:lang w:val="en"/>
        </w:rPr>
        <w:t>, 382(9890), pp. 452–477. doi: 10.1016/S0140-6736(13)60996-4.</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Black, M. (2012) </w:t>
      </w:r>
      <w:r w:rsidRPr="001C72A7">
        <w:rPr>
          <w:rFonts w:eastAsia="Arial" w:cs="Times New Roman"/>
          <w:i/>
          <w:iCs/>
          <w:noProof/>
          <w:sz w:val="22"/>
          <w:szCs w:val="22"/>
          <w:lang w:val="en"/>
        </w:rPr>
        <w:t>Household food insecurities: Threats to children’s well-being</w:t>
      </w:r>
      <w:r w:rsidRPr="001C72A7">
        <w:rPr>
          <w:rFonts w:eastAsia="Arial" w:cs="Times New Roman"/>
          <w:noProof/>
          <w:sz w:val="22"/>
          <w:szCs w:val="22"/>
          <w:lang w:val="en"/>
        </w:rPr>
        <w:t xml:space="preserve">, </w:t>
      </w:r>
      <w:r w:rsidRPr="001C72A7">
        <w:rPr>
          <w:rFonts w:eastAsia="Arial" w:cs="Times New Roman"/>
          <w:i/>
          <w:iCs/>
          <w:noProof/>
          <w:sz w:val="22"/>
          <w:szCs w:val="22"/>
          <w:lang w:val="en"/>
        </w:rPr>
        <w:t>American Psychological Association: The SES indicator</w:t>
      </w:r>
      <w:r w:rsidRPr="001C72A7">
        <w:rPr>
          <w:rFonts w:eastAsia="Arial" w:cs="Times New Roman"/>
          <w:noProof/>
          <w:sz w:val="22"/>
          <w:szCs w:val="22"/>
          <w:lang w:val="en"/>
        </w:rPr>
        <w:t>. Available at: https://www.apa.org/pi/ses/resources/indicator/2012/06/household-food-insecurities (Accessed: 13 June 2020).</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Black, M. M. </w:t>
      </w:r>
      <w:r w:rsidRPr="001C72A7">
        <w:rPr>
          <w:rFonts w:eastAsia="Arial" w:cs="Times New Roman"/>
          <w:i/>
          <w:iCs/>
          <w:noProof/>
          <w:sz w:val="22"/>
          <w:szCs w:val="22"/>
          <w:lang w:val="en"/>
        </w:rPr>
        <w:t>et al.</w:t>
      </w:r>
      <w:r w:rsidRPr="001C72A7">
        <w:rPr>
          <w:rFonts w:eastAsia="Arial" w:cs="Times New Roman"/>
          <w:noProof/>
          <w:sz w:val="22"/>
          <w:szCs w:val="22"/>
          <w:lang w:val="en"/>
        </w:rPr>
        <w:t xml:space="preserve"> (2012) ‘WIC participation and attenuation of stress-related child health risks of household food insecurity and caregiver depressive symptoms’, </w:t>
      </w:r>
      <w:r w:rsidRPr="001C72A7">
        <w:rPr>
          <w:rFonts w:eastAsia="Arial" w:cs="Times New Roman"/>
          <w:i/>
          <w:iCs/>
          <w:noProof/>
          <w:sz w:val="22"/>
          <w:szCs w:val="22"/>
          <w:lang w:val="en"/>
        </w:rPr>
        <w:t>Archives of Pediatrics and Adolescent Medicine</w:t>
      </w:r>
      <w:r w:rsidRPr="001C72A7">
        <w:rPr>
          <w:rFonts w:eastAsia="Arial" w:cs="Times New Roman"/>
          <w:noProof/>
          <w:sz w:val="22"/>
          <w:szCs w:val="22"/>
          <w:lang w:val="en"/>
        </w:rPr>
        <w:t>, 166(5), pp. 444–451. doi: 10.1001/archpediatrics.2012.1.</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Blesh, J. </w:t>
      </w:r>
      <w:r w:rsidRPr="001C72A7">
        <w:rPr>
          <w:rFonts w:eastAsia="Arial" w:cs="Times New Roman"/>
          <w:i/>
          <w:iCs/>
          <w:noProof/>
          <w:sz w:val="22"/>
          <w:szCs w:val="22"/>
          <w:lang w:val="en"/>
        </w:rPr>
        <w:t>et al.</w:t>
      </w:r>
      <w:r w:rsidRPr="001C72A7">
        <w:rPr>
          <w:rFonts w:eastAsia="Arial" w:cs="Times New Roman"/>
          <w:noProof/>
          <w:sz w:val="22"/>
          <w:szCs w:val="22"/>
          <w:lang w:val="en"/>
        </w:rPr>
        <w:t xml:space="preserve"> (2019) ‘Development pathways toward “zero hunger”’, </w:t>
      </w:r>
      <w:r w:rsidRPr="001C72A7">
        <w:rPr>
          <w:rFonts w:eastAsia="Arial" w:cs="Times New Roman"/>
          <w:i/>
          <w:iCs/>
          <w:noProof/>
          <w:sz w:val="22"/>
          <w:szCs w:val="22"/>
          <w:lang w:val="en"/>
        </w:rPr>
        <w:t>World Development</w:t>
      </w:r>
      <w:r w:rsidRPr="001C72A7">
        <w:rPr>
          <w:rFonts w:eastAsia="Arial" w:cs="Times New Roman"/>
          <w:noProof/>
          <w:sz w:val="22"/>
          <w:szCs w:val="22"/>
          <w:lang w:val="en"/>
        </w:rPr>
        <w:t>, 118, pp. 1–14. doi: 10.1016/j.worlddev.2019.02.004.</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Bredenkamp, C., Buisman, L. R. and Van de Poel, E. (2014) ‘Persistent inequalities in child undernutrition: Evidence from 80 countries, from 1990 to today’, </w:t>
      </w:r>
      <w:r w:rsidRPr="001C72A7">
        <w:rPr>
          <w:rFonts w:eastAsia="Arial" w:cs="Times New Roman"/>
          <w:i/>
          <w:iCs/>
          <w:noProof/>
          <w:sz w:val="22"/>
          <w:szCs w:val="22"/>
          <w:lang w:val="en"/>
        </w:rPr>
        <w:t>International Journal of Epidemiology</w:t>
      </w:r>
      <w:r w:rsidRPr="001C72A7">
        <w:rPr>
          <w:rFonts w:eastAsia="Arial" w:cs="Times New Roman"/>
          <w:noProof/>
          <w:sz w:val="22"/>
          <w:szCs w:val="22"/>
          <w:lang w:val="en"/>
        </w:rPr>
        <w:t>, 43(4), pp. 1328–1335. doi: 10.1093/ije/dyu075.</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Cafiero, C. (2014) ‘Advances in hunger measurement Traditional FAO methods and recent innovations’, </w:t>
      </w:r>
      <w:r w:rsidRPr="001C72A7">
        <w:rPr>
          <w:rFonts w:eastAsia="Arial" w:cs="Times New Roman"/>
          <w:i/>
          <w:iCs/>
          <w:noProof/>
          <w:sz w:val="22"/>
          <w:szCs w:val="22"/>
          <w:lang w:val="en"/>
        </w:rPr>
        <w:t>FAO Statistics Division. Workinng paper Series</w:t>
      </w:r>
      <w:r w:rsidRPr="001C72A7">
        <w:rPr>
          <w:rFonts w:eastAsia="Arial" w:cs="Times New Roman"/>
          <w:noProof/>
          <w:sz w:val="22"/>
          <w:szCs w:val="22"/>
          <w:lang w:val="en"/>
        </w:rPr>
        <w:t>, (ESS/14-04), pp. 1–27.</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Cook, J. T. and Frank, D. A. (2008) ‘Food security, poverty, and human development in the United States’, </w:t>
      </w:r>
      <w:r w:rsidRPr="001C72A7">
        <w:rPr>
          <w:rFonts w:eastAsia="Arial" w:cs="Times New Roman"/>
          <w:i/>
          <w:iCs/>
          <w:noProof/>
          <w:sz w:val="22"/>
          <w:szCs w:val="22"/>
          <w:lang w:val="en"/>
        </w:rPr>
        <w:t>Annals of the New York Academy of Sciences</w:t>
      </w:r>
      <w:r w:rsidRPr="001C72A7">
        <w:rPr>
          <w:rFonts w:eastAsia="Arial" w:cs="Times New Roman"/>
          <w:noProof/>
          <w:sz w:val="22"/>
          <w:szCs w:val="22"/>
          <w:lang w:val="en"/>
        </w:rPr>
        <w:t>, 1136, pp. 193–209. doi: 10.1196/annals.1425.001.</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CPAN (2012) </w:t>
      </w:r>
      <w:r w:rsidRPr="001C72A7">
        <w:rPr>
          <w:rFonts w:eastAsia="Arial" w:cs="Times New Roman"/>
          <w:i/>
          <w:iCs/>
          <w:noProof/>
          <w:sz w:val="22"/>
          <w:szCs w:val="22"/>
          <w:lang w:val="en"/>
        </w:rPr>
        <w:t>Agriculture Policy Guide, Meeting the challenge of a new pro-poor agricultural paradigm: The role of agricultural policies and programmes</w:t>
      </w:r>
      <w:r w:rsidRPr="001C72A7">
        <w:rPr>
          <w:rFonts w:eastAsia="Arial" w:cs="Times New Roman"/>
          <w:noProof/>
          <w:sz w:val="22"/>
          <w:szCs w:val="22"/>
          <w:lang w:val="en"/>
        </w:rPr>
        <w:t>. London.</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Dunning, C. and Kalow, J. (2016) </w:t>
      </w:r>
      <w:r w:rsidRPr="001C72A7">
        <w:rPr>
          <w:rFonts w:eastAsia="Arial" w:cs="Times New Roman"/>
          <w:i/>
          <w:iCs/>
          <w:noProof/>
          <w:sz w:val="22"/>
          <w:szCs w:val="22"/>
          <w:lang w:val="en"/>
        </w:rPr>
        <w:t>SDG Indicators: Serious Gaps Abound in Data Availability | Center For Global Development</w:t>
      </w:r>
      <w:r w:rsidRPr="001C72A7">
        <w:rPr>
          <w:rFonts w:eastAsia="Arial" w:cs="Times New Roman"/>
          <w:noProof/>
          <w:sz w:val="22"/>
          <w:szCs w:val="22"/>
          <w:lang w:val="en"/>
        </w:rPr>
        <w:t xml:space="preserve">, </w:t>
      </w:r>
      <w:r w:rsidRPr="001C72A7">
        <w:rPr>
          <w:rFonts w:eastAsia="Arial" w:cs="Times New Roman"/>
          <w:i/>
          <w:iCs/>
          <w:noProof/>
          <w:sz w:val="22"/>
          <w:szCs w:val="22"/>
          <w:lang w:val="en"/>
        </w:rPr>
        <w:t>Center for Global Development</w:t>
      </w:r>
      <w:r w:rsidRPr="001C72A7">
        <w:rPr>
          <w:rFonts w:eastAsia="Arial" w:cs="Times New Roman"/>
          <w:noProof/>
          <w:sz w:val="22"/>
          <w:szCs w:val="22"/>
          <w:lang w:val="en"/>
        </w:rPr>
        <w:t>. Available at: https://www.cgdev.org/blog/sdg-indicators-serious-gaps-abound-data-availability (Accessed: 13 June 2020).</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Dureab, F. </w:t>
      </w:r>
      <w:r w:rsidRPr="001C72A7">
        <w:rPr>
          <w:rFonts w:eastAsia="Arial" w:cs="Times New Roman"/>
          <w:i/>
          <w:iCs/>
          <w:noProof/>
          <w:sz w:val="22"/>
          <w:szCs w:val="22"/>
          <w:lang w:val="en"/>
        </w:rPr>
        <w:t>et al.</w:t>
      </w:r>
      <w:r w:rsidRPr="001C72A7">
        <w:rPr>
          <w:rFonts w:eastAsia="Arial" w:cs="Times New Roman"/>
          <w:noProof/>
          <w:sz w:val="22"/>
          <w:szCs w:val="22"/>
          <w:lang w:val="en"/>
        </w:rPr>
        <w:t xml:space="preserve"> (2019) ‘Risk factors associated with the recent cholera outbreak in Yemen: a case-control study’, </w:t>
      </w:r>
      <w:r w:rsidRPr="001C72A7">
        <w:rPr>
          <w:rFonts w:eastAsia="Arial" w:cs="Times New Roman"/>
          <w:i/>
          <w:iCs/>
          <w:noProof/>
          <w:sz w:val="22"/>
          <w:szCs w:val="22"/>
          <w:lang w:val="en"/>
        </w:rPr>
        <w:t>Epidemiology and health</w:t>
      </w:r>
      <w:r w:rsidRPr="001C72A7">
        <w:rPr>
          <w:rFonts w:eastAsia="Arial" w:cs="Times New Roman"/>
          <w:noProof/>
          <w:sz w:val="22"/>
          <w:szCs w:val="22"/>
          <w:lang w:val="en"/>
        </w:rPr>
        <w:t>, 41(March 2015), p. e2019015. doi: 10.4178/epih.e2019015.</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FAO </w:t>
      </w:r>
      <w:r w:rsidRPr="001C72A7">
        <w:rPr>
          <w:rFonts w:eastAsia="Arial" w:cs="Times New Roman"/>
          <w:i/>
          <w:iCs/>
          <w:noProof/>
          <w:sz w:val="22"/>
          <w:szCs w:val="22"/>
          <w:lang w:val="en"/>
        </w:rPr>
        <w:t>et al.</w:t>
      </w:r>
      <w:r w:rsidRPr="001C72A7">
        <w:rPr>
          <w:rFonts w:eastAsia="Arial" w:cs="Times New Roman"/>
          <w:noProof/>
          <w:sz w:val="22"/>
          <w:szCs w:val="22"/>
          <w:lang w:val="en"/>
        </w:rPr>
        <w:t xml:space="preserve"> (2018) </w:t>
      </w:r>
      <w:r w:rsidRPr="001C72A7">
        <w:rPr>
          <w:rFonts w:eastAsia="Arial" w:cs="Times New Roman"/>
          <w:i/>
          <w:iCs/>
          <w:noProof/>
          <w:sz w:val="22"/>
          <w:szCs w:val="22"/>
          <w:lang w:val="en"/>
        </w:rPr>
        <w:t>The State of Food Security and Nutrition in the World: Building Climate Resilience for Food Security and Nutrition</w:t>
      </w:r>
      <w:r w:rsidRPr="001C72A7">
        <w:rPr>
          <w:rFonts w:eastAsia="Arial" w:cs="Times New Roman"/>
          <w:noProof/>
          <w:sz w:val="22"/>
          <w:szCs w:val="22"/>
          <w:lang w:val="en"/>
        </w:rPr>
        <w:t>.</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FAO (2019) </w:t>
      </w:r>
      <w:r w:rsidRPr="001C72A7">
        <w:rPr>
          <w:rFonts w:eastAsia="Arial" w:cs="Times New Roman"/>
          <w:i/>
          <w:iCs/>
          <w:noProof/>
          <w:sz w:val="22"/>
          <w:szCs w:val="22"/>
          <w:lang w:val="en"/>
        </w:rPr>
        <w:t>Fifteen years implementing the Right to Food Guidelines - Reviewing progress to achieve the 2030 Agenda</w:t>
      </w:r>
      <w:r w:rsidRPr="001C72A7">
        <w:rPr>
          <w:rFonts w:eastAsia="Arial" w:cs="Times New Roman"/>
          <w:noProof/>
          <w:sz w:val="22"/>
          <w:szCs w:val="22"/>
          <w:lang w:val="en"/>
        </w:rPr>
        <w:t>.</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FAO </w:t>
      </w:r>
      <w:r w:rsidRPr="001C72A7">
        <w:rPr>
          <w:rFonts w:eastAsia="Arial" w:cs="Times New Roman"/>
          <w:i/>
          <w:iCs/>
          <w:noProof/>
          <w:sz w:val="22"/>
          <w:szCs w:val="22"/>
          <w:lang w:val="en"/>
        </w:rPr>
        <w:t>et al.</w:t>
      </w:r>
      <w:r w:rsidRPr="001C72A7">
        <w:rPr>
          <w:rFonts w:eastAsia="Arial" w:cs="Times New Roman"/>
          <w:noProof/>
          <w:sz w:val="22"/>
          <w:szCs w:val="22"/>
          <w:lang w:val="en"/>
        </w:rPr>
        <w:t xml:space="preserve"> (2019) </w:t>
      </w:r>
      <w:r w:rsidRPr="001C72A7">
        <w:rPr>
          <w:rFonts w:eastAsia="Arial" w:cs="Times New Roman"/>
          <w:i/>
          <w:iCs/>
          <w:noProof/>
          <w:sz w:val="22"/>
          <w:szCs w:val="22"/>
          <w:lang w:val="en"/>
        </w:rPr>
        <w:t>The state of food security and nutrition in the world 2019: Safeguarding against economic slowdowns and downturns.</w:t>
      </w:r>
      <w:r w:rsidRPr="001C72A7">
        <w:rPr>
          <w:rFonts w:eastAsia="Arial" w:cs="Times New Roman"/>
          <w:noProof/>
          <w:sz w:val="22"/>
          <w:szCs w:val="22"/>
          <w:lang w:val="en"/>
        </w:rPr>
        <w:t xml:space="preserve"> Rome: FOOD &amp; AGRICULTURE ORG.</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FAO (no date) </w:t>
      </w:r>
      <w:r w:rsidRPr="001C72A7">
        <w:rPr>
          <w:rFonts w:eastAsia="Arial" w:cs="Times New Roman"/>
          <w:i/>
          <w:iCs/>
          <w:noProof/>
          <w:sz w:val="22"/>
          <w:szCs w:val="22"/>
          <w:lang w:val="en"/>
        </w:rPr>
        <w:t>2.1.1 Prevalence of undernourishment |</w:t>
      </w:r>
      <w:r w:rsidRPr="001C72A7">
        <w:rPr>
          <w:rFonts w:eastAsia="Arial" w:cs="Times New Roman"/>
          <w:noProof/>
          <w:sz w:val="22"/>
          <w:szCs w:val="22"/>
          <w:lang w:val="en"/>
        </w:rPr>
        <w:t xml:space="preserve">, </w:t>
      </w:r>
      <w:r w:rsidRPr="001C72A7">
        <w:rPr>
          <w:rFonts w:eastAsia="Arial" w:cs="Times New Roman"/>
          <w:i/>
          <w:iCs/>
          <w:noProof/>
          <w:sz w:val="22"/>
          <w:szCs w:val="22"/>
          <w:lang w:val="en"/>
        </w:rPr>
        <w:t>Sustainable Development Goals | Food and Agriculture Organization of the United Nations</w:t>
      </w:r>
      <w:r w:rsidRPr="001C72A7">
        <w:rPr>
          <w:rFonts w:eastAsia="Arial" w:cs="Times New Roman"/>
          <w:noProof/>
          <w:sz w:val="22"/>
          <w:szCs w:val="22"/>
          <w:lang w:val="en"/>
        </w:rPr>
        <w:t>. Available at: http://www.fao.org/sustainable-development-goals/indicators/211/en/ (Accessed: 19 May 2020).</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FAO (Food and Agriculture Organization) (2017) </w:t>
      </w:r>
      <w:r w:rsidRPr="001C72A7">
        <w:rPr>
          <w:rFonts w:eastAsia="Arial" w:cs="Times New Roman"/>
          <w:i/>
          <w:iCs/>
          <w:noProof/>
          <w:sz w:val="22"/>
          <w:szCs w:val="22"/>
          <w:lang w:val="en"/>
        </w:rPr>
        <w:t>Africa regional overview of food security and nutrition 2016. The challenges of building resilience to shocks and stresses</w:t>
      </w:r>
      <w:r w:rsidRPr="001C72A7">
        <w:rPr>
          <w:rFonts w:eastAsia="Arial" w:cs="Times New Roman"/>
          <w:noProof/>
          <w:sz w:val="22"/>
          <w:szCs w:val="22"/>
          <w:lang w:val="en"/>
        </w:rPr>
        <w:t>. doi: 10.1080/04597238908460834.</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FAO, IFAD and WFP (2015) </w:t>
      </w:r>
      <w:r w:rsidRPr="001C72A7">
        <w:rPr>
          <w:rFonts w:eastAsia="Arial" w:cs="Times New Roman"/>
          <w:i/>
          <w:iCs/>
          <w:noProof/>
          <w:sz w:val="22"/>
          <w:szCs w:val="22"/>
          <w:lang w:val="en"/>
        </w:rPr>
        <w:t>The State of Food Insecurity in the World</w:t>
      </w:r>
      <w:r w:rsidRPr="001C72A7">
        <w:rPr>
          <w:rFonts w:eastAsia="Arial" w:cs="Times New Roman"/>
          <w:noProof/>
          <w:sz w:val="22"/>
          <w:szCs w:val="22"/>
          <w:lang w:val="en"/>
        </w:rPr>
        <w:t xml:space="preserve">, </w:t>
      </w:r>
      <w:r w:rsidRPr="001C72A7">
        <w:rPr>
          <w:rFonts w:eastAsia="Arial" w:cs="Times New Roman"/>
          <w:i/>
          <w:iCs/>
          <w:noProof/>
          <w:sz w:val="22"/>
          <w:szCs w:val="22"/>
          <w:lang w:val="en"/>
        </w:rPr>
        <w:t>The State of Food Insecurity in the World</w:t>
      </w:r>
      <w:r w:rsidRPr="001C72A7">
        <w:rPr>
          <w:rFonts w:eastAsia="Arial" w:cs="Times New Roman"/>
          <w:noProof/>
          <w:sz w:val="22"/>
          <w:szCs w:val="22"/>
          <w:lang w:val="en"/>
        </w:rPr>
        <w:t>. doi: 10.1007/BF00428044.</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FSIN (2018) ‘Global Report on Food Crisis 2018’, </w:t>
      </w:r>
      <w:r w:rsidRPr="001C72A7">
        <w:rPr>
          <w:rFonts w:eastAsia="Arial" w:cs="Times New Roman"/>
          <w:i/>
          <w:iCs/>
          <w:noProof/>
          <w:sz w:val="22"/>
          <w:szCs w:val="22"/>
          <w:lang w:val="en"/>
        </w:rPr>
        <w:t>Food Security Information Network</w:t>
      </w:r>
      <w:r w:rsidRPr="001C72A7">
        <w:rPr>
          <w:rFonts w:eastAsia="Arial" w:cs="Times New Roman"/>
          <w:noProof/>
          <w:sz w:val="22"/>
          <w:szCs w:val="22"/>
          <w:lang w:val="en"/>
        </w:rPr>
        <w:t>, p. 202.</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FSIN (2019) </w:t>
      </w:r>
      <w:r w:rsidRPr="001C72A7">
        <w:rPr>
          <w:rFonts w:eastAsia="Arial" w:cs="Times New Roman"/>
          <w:i/>
          <w:iCs/>
          <w:noProof/>
          <w:sz w:val="22"/>
          <w:szCs w:val="22"/>
          <w:lang w:val="en"/>
        </w:rPr>
        <w:t>Global Report on Food Crises 2019</w:t>
      </w:r>
      <w:r w:rsidRPr="001C72A7">
        <w:rPr>
          <w:rFonts w:eastAsia="Arial" w:cs="Times New Roman"/>
          <w:noProof/>
          <w:sz w:val="22"/>
          <w:szCs w:val="22"/>
          <w:lang w:val="en"/>
        </w:rPr>
        <w:t xml:space="preserve">, </w:t>
      </w:r>
      <w:r w:rsidRPr="001C72A7">
        <w:rPr>
          <w:rFonts w:eastAsia="Arial" w:cs="Times New Roman"/>
          <w:i/>
          <w:iCs/>
          <w:noProof/>
          <w:sz w:val="22"/>
          <w:szCs w:val="22"/>
          <w:lang w:val="en"/>
        </w:rPr>
        <w:t>World Food Programme</w:t>
      </w:r>
      <w:r w:rsidRPr="001C72A7">
        <w:rPr>
          <w:rFonts w:eastAsia="Arial" w:cs="Times New Roman"/>
          <w:noProof/>
          <w:sz w:val="22"/>
          <w:szCs w:val="22"/>
          <w:lang w:val="en"/>
        </w:rPr>
        <w:t>. doi: ISSN 1728-9246.</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FSP (no date) </w:t>
      </w:r>
      <w:r w:rsidRPr="001C72A7">
        <w:rPr>
          <w:rFonts w:eastAsia="Arial" w:cs="Times New Roman"/>
          <w:i/>
          <w:iCs/>
          <w:noProof/>
          <w:sz w:val="22"/>
          <w:szCs w:val="22"/>
          <w:lang w:val="en"/>
        </w:rPr>
        <w:t>Food Security Portal</w:t>
      </w:r>
      <w:r w:rsidRPr="001C72A7">
        <w:rPr>
          <w:rFonts w:eastAsia="Arial" w:cs="Times New Roman"/>
          <w:noProof/>
          <w:sz w:val="22"/>
          <w:szCs w:val="22"/>
          <w:lang w:val="en"/>
        </w:rPr>
        <w:t xml:space="preserve">, </w:t>
      </w:r>
      <w:r w:rsidRPr="001C72A7">
        <w:rPr>
          <w:rFonts w:eastAsia="Arial" w:cs="Times New Roman"/>
          <w:i/>
          <w:iCs/>
          <w:noProof/>
          <w:sz w:val="22"/>
          <w:szCs w:val="22"/>
          <w:lang w:val="en"/>
        </w:rPr>
        <w:t>IFPRI</w:t>
      </w:r>
      <w:r w:rsidRPr="001C72A7">
        <w:rPr>
          <w:rFonts w:eastAsia="Arial" w:cs="Times New Roman"/>
          <w:noProof/>
          <w:sz w:val="22"/>
          <w:szCs w:val="22"/>
          <w:lang w:val="en"/>
        </w:rPr>
        <w:t>. Available at: http://www.foodsecurityportal.org/api/countries.</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Global Agenda for Social Work and Social Development (2014) </w:t>
      </w:r>
      <w:r w:rsidRPr="001C72A7">
        <w:rPr>
          <w:rFonts w:eastAsia="Arial" w:cs="Times New Roman"/>
          <w:i/>
          <w:iCs/>
          <w:noProof/>
          <w:sz w:val="22"/>
          <w:szCs w:val="22"/>
          <w:lang w:val="en"/>
        </w:rPr>
        <w:t>Global Agenda for Social Work and Social Development 2014: First report</w:t>
      </w:r>
      <w:r w:rsidRPr="001C72A7">
        <w:rPr>
          <w:rFonts w:eastAsia="Arial" w:cs="Times New Roman"/>
          <w:noProof/>
          <w:sz w:val="22"/>
          <w:szCs w:val="22"/>
          <w:lang w:val="en"/>
        </w:rPr>
        <w:t xml:space="preserve">, </w:t>
      </w:r>
      <w:r w:rsidRPr="001C72A7">
        <w:rPr>
          <w:rFonts w:eastAsia="Arial" w:cs="Times New Roman"/>
          <w:i/>
          <w:iCs/>
          <w:noProof/>
          <w:sz w:val="22"/>
          <w:szCs w:val="22"/>
          <w:lang w:val="en"/>
        </w:rPr>
        <w:t>International Social Work</w:t>
      </w:r>
      <w:r w:rsidRPr="001C72A7">
        <w:rPr>
          <w:rFonts w:eastAsia="Arial" w:cs="Times New Roman"/>
          <w:noProof/>
          <w:sz w:val="22"/>
          <w:szCs w:val="22"/>
          <w:lang w:val="en"/>
        </w:rPr>
        <w:t>. doi: 10.1017/CBO9781107415324.004.</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Gödecke, T., Stein, A. J. and Qaim, M. (2018) ‘The global burden of chronic and hidden hunger: Trends and determinants’, </w:t>
      </w:r>
      <w:r w:rsidRPr="001C72A7">
        <w:rPr>
          <w:rFonts w:eastAsia="Arial" w:cs="Times New Roman"/>
          <w:i/>
          <w:iCs/>
          <w:noProof/>
          <w:sz w:val="22"/>
          <w:szCs w:val="22"/>
          <w:lang w:val="en"/>
        </w:rPr>
        <w:t>Global Food Security</w:t>
      </w:r>
      <w:r w:rsidRPr="001C72A7">
        <w:rPr>
          <w:rFonts w:eastAsia="Arial" w:cs="Times New Roman"/>
          <w:noProof/>
          <w:sz w:val="22"/>
          <w:szCs w:val="22"/>
          <w:lang w:val="en"/>
        </w:rPr>
        <w:t>. Elsevier B.V., 17(March), pp. 21–29. doi: 10.1016/j.gfs.2018.03.004.</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Headey, D. </w:t>
      </w:r>
      <w:r w:rsidRPr="001C72A7">
        <w:rPr>
          <w:rFonts w:eastAsia="Arial" w:cs="Times New Roman"/>
          <w:i/>
          <w:iCs/>
          <w:noProof/>
          <w:sz w:val="22"/>
          <w:szCs w:val="22"/>
          <w:lang w:val="en"/>
        </w:rPr>
        <w:t>et al.</w:t>
      </w:r>
      <w:r w:rsidRPr="001C72A7">
        <w:rPr>
          <w:rFonts w:eastAsia="Arial" w:cs="Times New Roman"/>
          <w:noProof/>
          <w:sz w:val="22"/>
          <w:szCs w:val="22"/>
          <w:lang w:val="en"/>
        </w:rPr>
        <w:t xml:space="preserve"> (2015) ‘The Other Asian Enigma: Explaining the Rapid Reduction of Undernutrition in Bangladesh’, </w:t>
      </w:r>
      <w:r w:rsidRPr="001C72A7">
        <w:rPr>
          <w:rFonts w:eastAsia="Arial" w:cs="Times New Roman"/>
          <w:i/>
          <w:iCs/>
          <w:noProof/>
          <w:sz w:val="22"/>
          <w:szCs w:val="22"/>
          <w:lang w:val="en"/>
        </w:rPr>
        <w:t>World Development</w:t>
      </w:r>
      <w:r w:rsidRPr="001C72A7">
        <w:rPr>
          <w:rFonts w:eastAsia="Arial" w:cs="Times New Roman"/>
          <w:noProof/>
          <w:sz w:val="22"/>
          <w:szCs w:val="22"/>
          <w:lang w:val="en"/>
        </w:rPr>
        <w:t>. Elsevier Ltd, 66, pp. 749–761. doi: 10.1016/j.worlddev.2014.09.022.</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Healy, L. M. (2017) ‘Situating social work within the post-2015 Global Agenda’, </w:t>
      </w:r>
      <w:r w:rsidRPr="001C72A7">
        <w:rPr>
          <w:rFonts w:eastAsia="Arial" w:cs="Times New Roman"/>
          <w:i/>
          <w:iCs/>
          <w:noProof/>
          <w:sz w:val="22"/>
          <w:szCs w:val="22"/>
          <w:lang w:val="en"/>
        </w:rPr>
        <w:t>European Journal of Social Work</w:t>
      </w:r>
      <w:r w:rsidRPr="001C72A7">
        <w:rPr>
          <w:rFonts w:eastAsia="Arial" w:cs="Times New Roman"/>
          <w:noProof/>
          <w:sz w:val="22"/>
          <w:szCs w:val="22"/>
          <w:lang w:val="en"/>
        </w:rPr>
        <w:t>. Taylor &amp; Francis, 20(1), pp. 5–16. doi: 10.1080/13691457.2016.1168788.</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HLPF (2019) </w:t>
      </w:r>
      <w:r w:rsidRPr="001C72A7">
        <w:rPr>
          <w:rFonts w:eastAsia="Arial" w:cs="Times New Roman"/>
          <w:i/>
          <w:iCs/>
          <w:noProof/>
          <w:sz w:val="22"/>
          <w:szCs w:val="22"/>
          <w:lang w:val="en"/>
        </w:rPr>
        <w:t>High-level Political Forum .:. Sustainable Development Knowledge Platform</w:t>
      </w:r>
      <w:r w:rsidRPr="001C72A7">
        <w:rPr>
          <w:rFonts w:eastAsia="Arial" w:cs="Times New Roman"/>
          <w:noProof/>
          <w:sz w:val="22"/>
          <w:szCs w:val="22"/>
          <w:lang w:val="en"/>
        </w:rPr>
        <w:t xml:space="preserve">, </w:t>
      </w:r>
      <w:r w:rsidRPr="001C72A7">
        <w:rPr>
          <w:rFonts w:eastAsia="Arial" w:cs="Times New Roman"/>
          <w:i/>
          <w:iCs/>
          <w:noProof/>
          <w:sz w:val="22"/>
          <w:szCs w:val="22"/>
          <w:lang w:val="en"/>
        </w:rPr>
        <w:t>UNSDG</w:t>
      </w:r>
      <w:r w:rsidRPr="001C72A7">
        <w:rPr>
          <w:rFonts w:eastAsia="Arial" w:cs="Times New Roman"/>
          <w:noProof/>
          <w:sz w:val="22"/>
          <w:szCs w:val="22"/>
          <w:lang w:val="en"/>
        </w:rPr>
        <w:t>. Available at: https://sustainabledevelopment.un.org/hlpf (Accessed: 19 May 2020).</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IASSW (2016) </w:t>
      </w:r>
      <w:r w:rsidRPr="001C72A7">
        <w:rPr>
          <w:rFonts w:eastAsia="Arial" w:cs="Times New Roman"/>
          <w:i/>
          <w:iCs/>
          <w:noProof/>
          <w:sz w:val="22"/>
          <w:szCs w:val="22"/>
          <w:lang w:val="en"/>
        </w:rPr>
        <w:t>Global Agenda for Social Work and Social Development IASSW Statement Theme 3: Promoting environmental and community sustainability</w:t>
      </w:r>
      <w:r w:rsidRPr="001C72A7">
        <w:rPr>
          <w:rFonts w:eastAsia="Arial" w:cs="Times New Roman"/>
          <w:noProof/>
          <w:sz w:val="22"/>
          <w:szCs w:val="22"/>
          <w:lang w:val="en"/>
        </w:rPr>
        <w:t xml:space="preserve">, </w:t>
      </w:r>
      <w:r w:rsidRPr="001C72A7">
        <w:rPr>
          <w:rFonts w:eastAsia="Arial" w:cs="Times New Roman"/>
          <w:i/>
          <w:iCs/>
          <w:noProof/>
          <w:sz w:val="22"/>
          <w:szCs w:val="22"/>
          <w:lang w:val="en"/>
        </w:rPr>
        <w:t>Global Agenda for Social Work and Social Development IASSW Statement</w:t>
      </w:r>
      <w:r w:rsidRPr="001C72A7">
        <w:rPr>
          <w:rFonts w:eastAsia="Arial" w:cs="Times New Roman"/>
          <w:noProof/>
          <w:sz w:val="22"/>
          <w:szCs w:val="22"/>
          <w:lang w:val="en"/>
        </w:rPr>
        <w:t>.</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IISD (no date) </w:t>
      </w:r>
      <w:r w:rsidRPr="001C72A7">
        <w:rPr>
          <w:rFonts w:eastAsia="Arial" w:cs="Times New Roman"/>
          <w:i/>
          <w:iCs/>
          <w:noProof/>
          <w:sz w:val="22"/>
          <w:szCs w:val="22"/>
          <w:lang w:val="en"/>
        </w:rPr>
        <w:t>SDG Indicator Portal</w:t>
      </w:r>
      <w:r w:rsidRPr="001C72A7">
        <w:rPr>
          <w:rFonts w:eastAsia="Arial" w:cs="Times New Roman"/>
          <w:noProof/>
          <w:sz w:val="22"/>
          <w:szCs w:val="22"/>
          <w:lang w:val="en"/>
        </w:rPr>
        <w:t xml:space="preserve">, </w:t>
      </w:r>
      <w:r w:rsidRPr="001C72A7">
        <w:rPr>
          <w:rFonts w:eastAsia="Arial" w:cs="Times New Roman"/>
          <w:i/>
          <w:iCs/>
          <w:noProof/>
          <w:sz w:val="22"/>
          <w:szCs w:val="22"/>
          <w:lang w:val="en"/>
        </w:rPr>
        <w:t>SDG INDICATOR PORTAL</w:t>
      </w:r>
      <w:r w:rsidRPr="001C72A7">
        <w:rPr>
          <w:rFonts w:eastAsia="Arial" w:cs="Times New Roman"/>
          <w:noProof/>
          <w:sz w:val="22"/>
          <w:szCs w:val="22"/>
          <w:lang w:val="en"/>
        </w:rPr>
        <w:t>. Available at: https://sustainable-development-goals.iisd.org/country-data (Accessed: 19 May 2020).</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IPCC (2018) </w:t>
      </w:r>
      <w:r w:rsidRPr="001C72A7">
        <w:rPr>
          <w:rFonts w:eastAsia="Arial" w:cs="Times New Roman"/>
          <w:i/>
          <w:iCs/>
          <w:noProof/>
          <w:sz w:val="22"/>
          <w:szCs w:val="22"/>
          <w:lang w:val="en"/>
        </w:rPr>
        <w:t>Chapter 5: Food Security</w:t>
      </w:r>
      <w:r w:rsidRPr="001C72A7">
        <w:rPr>
          <w:rFonts w:eastAsia="Arial" w:cs="Times New Roman"/>
          <w:noProof/>
          <w:sz w:val="22"/>
          <w:szCs w:val="22"/>
          <w:lang w:val="en"/>
        </w:rPr>
        <w:t xml:space="preserve">, </w:t>
      </w:r>
      <w:r w:rsidRPr="001C72A7">
        <w:rPr>
          <w:rFonts w:eastAsia="Arial" w:cs="Times New Roman"/>
          <w:i/>
          <w:iCs/>
          <w:noProof/>
          <w:sz w:val="22"/>
          <w:szCs w:val="22"/>
          <w:lang w:val="en"/>
        </w:rPr>
        <w:t>IPCC Special Report on Climate Change, Desertification, Land Degradation, Sustainable Land Management, Food Security, and Greenhouse gas fluxes in Terrestrial Ecosystems</w:t>
      </w:r>
      <w:r w:rsidRPr="001C72A7">
        <w:rPr>
          <w:rFonts w:eastAsia="Arial" w:cs="Times New Roman"/>
          <w:noProof/>
          <w:sz w:val="22"/>
          <w:szCs w:val="22"/>
          <w:lang w:val="en"/>
        </w:rPr>
        <w:t>.</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Jayasooria, D. (2016) ‘Sustainable Development Goals and Social Work: Opportunities and Challenges for Social Work Practice in Malaysia’, </w:t>
      </w:r>
      <w:r w:rsidRPr="001C72A7">
        <w:rPr>
          <w:rFonts w:eastAsia="Arial" w:cs="Times New Roman"/>
          <w:i/>
          <w:iCs/>
          <w:noProof/>
          <w:sz w:val="22"/>
          <w:szCs w:val="22"/>
          <w:lang w:val="en"/>
        </w:rPr>
        <w:t>Journal of Human Rights and Social Work</w:t>
      </w:r>
      <w:r w:rsidRPr="001C72A7">
        <w:rPr>
          <w:rFonts w:eastAsia="Arial" w:cs="Times New Roman"/>
          <w:noProof/>
          <w:sz w:val="22"/>
          <w:szCs w:val="22"/>
          <w:lang w:val="en"/>
        </w:rPr>
        <w:t>, 1(1), pp. 19–29. doi: 10.1007/s41134-016-0007-y.</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Ke, J. and Ford-Jones, E. L. (2015) ‘Food insecurity and hunger: A review of the effects on children’s health and behaviour’, </w:t>
      </w:r>
      <w:r w:rsidRPr="001C72A7">
        <w:rPr>
          <w:rFonts w:eastAsia="Arial" w:cs="Times New Roman"/>
          <w:i/>
          <w:iCs/>
          <w:noProof/>
          <w:sz w:val="22"/>
          <w:szCs w:val="22"/>
          <w:lang w:val="en"/>
        </w:rPr>
        <w:t>Paediatrics and Child Health (Canada)</w:t>
      </w:r>
      <w:r w:rsidRPr="001C72A7">
        <w:rPr>
          <w:rFonts w:eastAsia="Arial" w:cs="Times New Roman"/>
          <w:noProof/>
          <w:sz w:val="22"/>
          <w:szCs w:val="22"/>
          <w:lang w:val="en"/>
        </w:rPr>
        <w:t>, 20(2), pp. 89–91. doi: 10.1093/pch/20.2.89.</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Kinyoki, D. K. </w:t>
      </w:r>
      <w:r w:rsidRPr="001C72A7">
        <w:rPr>
          <w:rFonts w:eastAsia="Arial" w:cs="Times New Roman"/>
          <w:i/>
          <w:iCs/>
          <w:noProof/>
          <w:sz w:val="22"/>
          <w:szCs w:val="22"/>
          <w:lang w:val="en"/>
        </w:rPr>
        <w:t>et al.</w:t>
      </w:r>
      <w:r w:rsidRPr="001C72A7">
        <w:rPr>
          <w:rFonts w:eastAsia="Arial" w:cs="Times New Roman"/>
          <w:noProof/>
          <w:sz w:val="22"/>
          <w:szCs w:val="22"/>
          <w:lang w:val="en"/>
        </w:rPr>
        <w:t xml:space="preserve"> (2015) ‘Predictors of the risk of malnutrition among children under the age of 5 years in Somalia’, </w:t>
      </w:r>
      <w:r w:rsidRPr="001C72A7">
        <w:rPr>
          <w:rFonts w:eastAsia="Arial" w:cs="Times New Roman"/>
          <w:i/>
          <w:iCs/>
          <w:noProof/>
          <w:sz w:val="22"/>
          <w:szCs w:val="22"/>
          <w:lang w:val="en"/>
        </w:rPr>
        <w:t>Public Health Nutrition</w:t>
      </w:r>
      <w:r w:rsidRPr="001C72A7">
        <w:rPr>
          <w:rFonts w:eastAsia="Arial" w:cs="Times New Roman"/>
          <w:noProof/>
          <w:sz w:val="22"/>
          <w:szCs w:val="22"/>
          <w:lang w:val="en"/>
        </w:rPr>
        <w:t>, 18(17), pp. 3125–3133. doi: 10.1017/S1368980015001913.</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Knowles, M. </w:t>
      </w:r>
      <w:r w:rsidRPr="001C72A7">
        <w:rPr>
          <w:rFonts w:eastAsia="Arial" w:cs="Times New Roman"/>
          <w:i/>
          <w:iCs/>
          <w:noProof/>
          <w:sz w:val="22"/>
          <w:szCs w:val="22"/>
          <w:lang w:val="en"/>
        </w:rPr>
        <w:t>et al.</w:t>
      </w:r>
      <w:r w:rsidRPr="001C72A7">
        <w:rPr>
          <w:rFonts w:eastAsia="Arial" w:cs="Times New Roman"/>
          <w:noProof/>
          <w:sz w:val="22"/>
          <w:szCs w:val="22"/>
          <w:lang w:val="en"/>
        </w:rPr>
        <w:t xml:space="preserve"> (2016) ‘“Do You Wanna Breathe or Eat?”: Parent Perspectives on Child Health Consequences of Food Insecurity, Trade-Offs, and Toxic Stress’, </w:t>
      </w:r>
      <w:r w:rsidRPr="001C72A7">
        <w:rPr>
          <w:rFonts w:eastAsia="Arial" w:cs="Times New Roman"/>
          <w:i/>
          <w:iCs/>
          <w:noProof/>
          <w:sz w:val="22"/>
          <w:szCs w:val="22"/>
          <w:lang w:val="en"/>
        </w:rPr>
        <w:t>Maternal and Child Health Journal</w:t>
      </w:r>
      <w:r w:rsidRPr="001C72A7">
        <w:rPr>
          <w:rFonts w:eastAsia="Arial" w:cs="Times New Roman"/>
          <w:noProof/>
          <w:sz w:val="22"/>
          <w:szCs w:val="22"/>
          <w:lang w:val="en"/>
        </w:rPr>
        <w:t>. Springer US, 20(1), pp. 25–32. doi: 10.1007/s10995-015-1797-8.</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Lewis, J. J. and Pattanayak, S. K. (2012) ‘Who adopts improved fuels and cookstoves? A systematic review’, </w:t>
      </w:r>
      <w:r w:rsidRPr="001C72A7">
        <w:rPr>
          <w:rFonts w:eastAsia="Arial" w:cs="Times New Roman"/>
          <w:i/>
          <w:iCs/>
          <w:noProof/>
          <w:sz w:val="22"/>
          <w:szCs w:val="22"/>
          <w:lang w:val="en"/>
        </w:rPr>
        <w:t>Environmental Health Perspectives</w:t>
      </w:r>
      <w:r w:rsidRPr="001C72A7">
        <w:rPr>
          <w:rFonts w:eastAsia="Arial" w:cs="Times New Roman"/>
          <w:noProof/>
          <w:sz w:val="22"/>
          <w:szCs w:val="22"/>
          <w:lang w:val="en"/>
        </w:rPr>
        <w:t>, 120(5), pp. 637–645. doi: 10.1289/ehp.1104194.</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i/>
          <w:iCs/>
          <w:noProof/>
          <w:sz w:val="22"/>
          <w:szCs w:val="22"/>
          <w:lang w:val="en"/>
        </w:rPr>
        <w:t>Malnutrition in Children - UNICEF DATA</w:t>
      </w:r>
      <w:r w:rsidRPr="001C72A7">
        <w:rPr>
          <w:rFonts w:eastAsia="Arial" w:cs="Times New Roman"/>
          <w:noProof/>
          <w:sz w:val="22"/>
          <w:szCs w:val="22"/>
          <w:lang w:val="en"/>
        </w:rPr>
        <w:t xml:space="preserve"> (no date). Available at: https://data.unicef.org/topic/nutrition/malnutrition/ (Accessed: 13 June 2020).</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Mariama Sow (2017) </w:t>
      </w:r>
      <w:r w:rsidRPr="001C72A7">
        <w:rPr>
          <w:rFonts w:eastAsia="Arial" w:cs="Times New Roman"/>
          <w:i/>
          <w:iCs/>
          <w:noProof/>
          <w:sz w:val="22"/>
          <w:szCs w:val="22"/>
          <w:lang w:val="en"/>
        </w:rPr>
        <w:t>Africa’s progress on the SDGs and Agenda 2063</w:t>
      </w:r>
      <w:r w:rsidRPr="001C72A7">
        <w:rPr>
          <w:rFonts w:eastAsia="Arial" w:cs="Times New Roman"/>
          <w:noProof/>
          <w:sz w:val="22"/>
          <w:szCs w:val="22"/>
          <w:lang w:val="en"/>
        </w:rPr>
        <w:t>.</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Millimet, D. L. and Roy, M. (2015) ‘Partial identification of the long-run causal effect of food security on child health’, </w:t>
      </w:r>
      <w:r w:rsidRPr="001C72A7">
        <w:rPr>
          <w:rFonts w:eastAsia="Arial" w:cs="Times New Roman"/>
          <w:i/>
          <w:iCs/>
          <w:noProof/>
          <w:sz w:val="22"/>
          <w:szCs w:val="22"/>
          <w:lang w:val="en"/>
        </w:rPr>
        <w:t>Empirical Economics</w:t>
      </w:r>
      <w:r w:rsidRPr="001C72A7">
        <w:rPr>
          <w:rFonts w:eastAsia="Arial" w:cs="Times New Roman"/>
          <w:noProof/>
          <w:sz w:val="22"/>
          <w:szCs w:val="22"/>
          <w:lang w:val="en"/>
        </w:rPr>
        <w:t>, 48(1), pp. 83–141. doi: 10.1007/s00181-014-0867-x.</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Mkonda, M. Y. and He, X. (2017) ‘Yields of the major food crops: Implications to food security and policy in Tanzania’s semi-arid agro-ecological zone’, </w:t>
      </w:r>
      <w:r w:rsidRPr="001C72A7">
        <w:rPr>
          <w:rFonts w:eastAsia="Arial" w:cs="Times New Roman"/>
          <w:i/>
          <w:iCs/>
          <w:noProof/>
          <w:sz w:val="22"/>
          <w:szCs w:val="22"/>
          <w:lang w:val="en"/>
        </w:rPr>
        <w:t>Sustainability (Switzerland)</w:t>
      </w:r>
      <w:r w:rsidRPr="001C72A7">
        <w:rPr>
          <w:rFonts w:eastAsia="Arial" w:cs="Times New Roman"/>
          <w:noProof/>
          <w:sz w:val="22"/>
          <w:szCs w:val="22"/>
          <w:lang w:val="en"/>
        </w:rPr>
        <w:t>, 9(8). doi: 10.3390/su9081490.</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570077">
        <w:rPr>
          <w:rFonts w:eastAsia="Arial" w:cs="Times New Roman"/>
          <w:noProof/>
          <w:sz w:val="22"/>
          <w:szCs w:val="22"/>
          <w:lang w:val="es-ES"/>
        </w:rPr>
        <w:t xml:space="preserve">De Onis, M. </w:t>
      </w:r>
      <w:r w:rsidRPr="00570077">
        <w:rPr>
          <w:rFonts w:eastAsia="Arial" w:cs="Times New Roman"/>
          <w:i/>
          <w:iCs/>
          <w:noProof/>
          <w:sz w:val="22"/>
          <w:szCs w:val="22"/>
          <w:lang w:val="es-ES"/>
        </w:rPr>
        <w:t>et al.</w:t>
      </w:r>
      <w:r w:rsidRPr="00570077">
        <w:rPr>
          <w:rFonts w:eastAsia="Arial" w:cs="Times New Roman"/>
          <w:noProof/>
          <w:sz w:val="22"/>
          <w:szCs w:val="22"/>
          <w:lang w:val="es-ES"/>
        </w:rPr>
        <w:t xml:space="preserve"> </w:t>
      </w:r>
      <w:r w:rsidRPr="001C72A7">
        <w:rPr>
          <w:rFonts w:eastAsia="Arial" w:cs="Times New Roman"/>
          <w:noProof/>
          <w:sz w:val="22"/>
          <w:szCs w:val="22"/>
          <w:lang w:val="en"/>
        </w:rPr>
        <w:t xml:space="preserve">(2019) ‘Prevalence thresholds for wasting, overweight and stunting in children under 5 years’, </w:t>
      </w:r>
      <w:r w:rsidRPr="001C72A7">
        <w:rPr>
          <w:rFonts w:eastAsia="Arial" w:cs="Times New Roman"/>
          <w:i/>
          <w:iCs/>
          <w:noProof/>
          <w:sz w:val="22"/>
          <w:szCs w:val="22"/>
          <w:lang w:val="en"/>
        </w:rPr>
        <w:t>Public Health Nutrition</w:t>
      </w:r>
      <w:r w:rsidRPr="001C72A7">
        <w:rPr>
          <w:rFonts w:eastAsia="Arial" w:cs="Times New Roman"/>
          <w:noProof/>
          <w:sz w:val="22"/>
          <w:szCs w:val="22"/>
          <w:lang w:val="en"/>
        </w:rPr>
        <w:t>, 22(1), pp. 175–179. doi: 10.1017/S1368980018002434.</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Richter, L. M. </w:t>
      </w:r>
      <w:r w:rsidRPr="001C72A7">
        <w:rPr>
          <w:rFonts w:eastAsia="Arial" w:cs="Times New Roman"/>
          <w:i/>
          <w:iCs/>
          <w:noProof/>
          <w:sz w:val="22"/>
          <w:szCs w:val="22"/>
          <w:lang w:val="en"/>
        </w:rPr>
        <w:t>et al.</w:t>
      </w:r>
      <w:r w:rsidRPr="001C72A7">
        <w:rPr>
          <w:rFonts w:eastAsia="Arial" w:cs="Times New Roman"/>
          <w:noProof/>
          <w:sz w:val="22"/>
          <w:szCs w:val="22"/>
          <w:lang w:val="en"/>
        </w:rPr>
        <w:t xml:space="preserve"> (2017) ‘Investing in the foundation of sustainable development: pathways to scale up for early childhood development’, </w:t>
      </w:r>
      <w:r w:rsidRPr="001C72A7">
        <w:rPr>
          <w:rFonts w:eastAsia="Arial" w:cs="Times New Roman"/>
          <w:i/>
          <w:iCs/>
          <w:noProof/>
          <w:sz w:val="22"/>
          <w:szCs w:val="22"/>
          <w:lang w:val="en"/>
        </w:rPr>
        <w:t>The Lancet</w:t>
      </w:r>
      <w:r w:rsidRPr="001C72A7">
        <w:rPr>
          <w:rFonts w:eastAsia="Arial" w:cs="Times New Roman"/>
          <w:noProof/>
          <w:sz w:val="22"/>
          <w:szCs w:val="22"/>
          <w:lang w:val="en"/>
        </w:rPr>
        <w:t>, 389(10064), pp. 103–118. doi: 10.1016/S0140-6736(16)31698-1.</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Schuenemann, F., Msangi, S. and Zeller, M. (2018) ‘Policies for a Sustainable Biomass Energy Sector in Malawi: Enhancing Energy and Food Security Simultaneously’, </w:t>
      </w:r>
      <w:r w:rsidRPr="001C72A7">
        <w:rPr>
          <w:rFonts w:eastAsia="Arial" w:cs="Times New Roman"/>
          <w:i/>
          <w:iCs/>
          <w:noProof/>
          <w:sz w:val="22"/>
          <w:szCs w:val="22"/>
          <w:lang w:val="en"/>
        </w:rPr>
        <w:t>World Development</w:t>
      </w:r>
      <w:r w:rsidRPr="001C72A7">
        <w:rPr>
          <w:rFonts w:eastAsia="Arial" w:cs="Times New Roman"/>
          <w:noProof/>
          <w:sz w:val="22"/>
          <w:szCs w:val="22"/>
          <w:lang w:val="en"/>
        </w:rPr>
        <w:t>. Elsevier Ltd, 103, pp. 14–26. doi: 10.1016/j.worlddev.2017.10.011.</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Smith, L. C. and Haddad, L. (2015) ‘Reducing Child Undernutrition: Past Drivers and Priorities for the Post-MDG Era’, </w:t>
      </w:r>
      <w:r w:rsidRPr="001C72A7">
        <w:rPr>
          <w:rFonts w:eastAsia="Arial" w:cs="Times New Roman"/>
          <w:i/>
          <w:iCs/>
          <w:noProof/>
          <w:sz w:val="22"/>
          <w:szCs w:val="22"/>
          <w:lang w:val="en"/>
        </w:rPr>
        <w:t>World Development</w:t>
      </w:r>
      <w:r w:rsidRPr="001C72A7">
        <w:rPr>
          <w:rFonts w:eastAsia="Arial" w:cs="Times New Roman"/>
          <w:noProof/>
          <w:sz w:val="22"/>
          <w:szCs w:val="22"/>
          <w:lang w:val="en"/>
        </w:rPr>
        <w:t>. Elsevier Ltd, 68(1), pp. 180–204. doi: 10.1016/j.worlddev.2014.11.014.</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Speirs, K. E., Fiese, B. H. and STRONG Kids Research Team (2016) ‘The Relationship Between Food Insecurity and BMI for Preschool Children’, </w:t>
      </w:r>
      <w:r w:rsidRPr="001C72A7">
        <w:rPr>
          <w:rFonts w:eastAsia="Arial" w:cs="Times New Roman"/>
          <w:i/>
          <w:iCs/>
          <w:noProof/>
          <w:sz w:val="22"/>
          <w:szCs w:val="22"/>
          <w:lang w:val="en"/>
        </w:rPr>
        <w:t>Maternal and Child Health Journal</w:t>
      </w:r>
      <w:r w:rsidRPr="001C72A7">
        <w:rPr>
          <w:rFonts w:eastAsia="Arial" w:cs="Times New Roman"/>
          <w:noProof/>
          <w:sz w:val="22"/>
          <w:szCs w:val="22"/>
          <w:lang w:val="en"/>
        </w:rPr>
        <w:t>. Springer US, 20(4), pp. 925–933. doi: 10.1007/s10995-015-1881-0.</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Talukder, A. </w:t>
      </w:r>
      <w:r w:rsidRPr="001C72A7">
        <w:rPr>
          <w:rFonts w:eastAsia="Arial" w:cs="Times New Roman"/>
          <w:i/>
          <w:iCs/>
          <w:noProof/>
          <w:sz w:val="22"/>
          <w:szCs w:val="22"/>
          <w:lang w:val="en"/>
        </w:rPr>
        <w:t>et al.</w:t>
      </w:r>
      <w:r w:rsidRPr="001C72A7">
        <w:rPr>
          <w:rFonts w:eastAsia="Arial" w:cs="Times New Roman"/>
          <w:noProof/>
          <w:sz w:val="22"/>
          <w:szCs w:val="22"/>
          <w:lang w:val="en"/>
        </w:rPr>
        <w:t xml:space="preserve"> (2010) ‘Homestead food production model contributes to improved household food security and nutrition status of young children and women in poor populations. lessons learned from scaling-up programs in Asia (Bangladesh, Cambodia, Nepal and Philippines)’, </w:t>
      </w:r>
      <w:r w:rsidRPr="001C72A7">
        <w:rPr>
          <w:rFonts w:eastAsia="Arial" w:cs="Times New Roman"/>
          <w:i/>
          <w:iCs/>
          <w:noProof/>
          <w:sz w:val="22"/>
          <w:szCs w:val="22"/>
          <w:lang w:val="en"/>
        </w:rPr>
        <w:t>Field Actions Science Reports. The journal of field actions</w:t>
      </w:r>
      <w:r w:rsidRPr="001C72A7">
        <w:rPr>
          <w:rFonts w:eastAsia="Arial" w:cs="Times New Roman"/>
          <w:noProof/>
          <w:sz w:val="22"/>
          <w:szCs w:val="22"/>
          <w:lang w:val="en"/>
        </w:rPr>
        <w:t>, (Special Issue 1), pp. 0–9.</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Thome, K. </w:t>
      </w:r>
      <w:r w:rsidRPr="001C72A7">
        <w:rPr>
          <w:rFonts w:eastAsia="Arial" w:cs="Times New Roman"/>
          <w:i/>
          <w:iCs/>
          <w:noProof/>
          <w:sz w:val="22"/>
          <w:szCs w:val="22"/>
          <w:lang w:val="en"/>
        </w:rPr>
        <w:t>et al.</w:t>
      </w:r>
      <w:r w:rsidRPr="001C72A7">
        <w:rPr>
          <w:rFonts w:eastAsia="Arial" w:cs="Times New Roman"/>
          <w:noProof/>
          <w:sz w:val="22"/>
          <w:szCs w:val="22"/>
          <w:lang w:val="en"/>
        </w:rPr>
        <w:t xml:space="preserve"> (2018) ‘International Food Security Assessment, 2018-2028’, (June), p. 48.</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UN (2015) </w:t>
      </w:r>
      <w:r w:rsidRPr="001C72A7">
        <w:rPr>
          <w:rFonts w:eastAsia="Arial" w:cs="Times New Roman"/>
          <w:i/>
          <w:iCs/>
          <w:noProof/>
          <w:sz w:val="22"/>
          <w:szCs w:val="22"/>
          <w:lang w:val="en"/>
        </w:rPr>
        <w:t>United Nations Millennium Development Goals</w:t>
      </w:r>
      <w:r w:rsidRPr="001C72A7">
        <w:rPr>
          <w:rFonts w:eastAsia="Arial" w:cs="Times New Roman"/>
          <w:noProof/>
          <w:sz w:val="22"/>
          <w:szCs w:val="22"/>
          <w:lang w:val="en"/>
        </w:rPr>
        <w:t xml:space="preserve">, </w:t>
      </w:r>
      <w:r w:rsidRPr="001C72A7">
        <w:rPr>
          <w:rFonts w:eastAsia="Arial" w:cs="Times New Roman"/>
          <w:i/>
          <w:iCs/>
          <w:noProof/>
          <w:sz w:val="22"/>
          <w:szCs w:val="22"/>
          <w:lang w:val="en"/>
        </w:rPr>
        <w:t>United Nations Millennium Development Goals</w:t>
      </w:r>
      <w:r w:rsidRPr="001C72A7">
        <w:rPr>
          <w:rFonts w:eastAsia="Arial" w:cs="Times New Roman"/>
          <w:noProof/>
          <w:sz w:val="22"/>
          <w:szCs w:val="22"/>
          <w:lang w:val="en"/>
        </w:rPr>
        <w:t>. Available at: https://www.un.org/millenniumgoals/ (Accessed: 19 May 2020).</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UN (2019) </w:t>
      </w:r>
      <w:r w:rsidRPr="001C72A7">
        <w:rPr>
          <w:rFonts w:eastAsia="Arial" w:cs="Times New Roman"/>
          <w:i/>
          <w:iCs/>
          <w:noProof/>
          <w:sz w:val="22"/>
          <w:szCs w:val="22"/>
          <w:lang w:val="en"/>
        </w:rPr>
        <w:t>Goal 2: Zero Hunger; Sustainable Development Goals</w:t>
      </w:r>
      <w:r w:rsidRPr="001C72A7">
        <w:rPr>
          <w:rFonts w:eastAsia="Arial" w:cs="Times New Roman"/>
          <w:noProof/>
          <w:sz w:val="22"/>
          <w:szCs w:val="22"/>
          <w:lang w:val="en"/>
        </w:rPr>
        <w:t>. Available at: https://www.un.org/sustainabledevelopment/hunger/.</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UN General Assembly (2015) </w:t>
      </w:r>
      <w:r w:rsidRPr="001C72A7">
        <w:rPr>
          <w:rFonts w:eastAsia="Arial" w:cs="Times New Roman"/>
          <w:i/>
          <w:iCs/>
          <w:noProof/>
          <w:sz w:val="22"/>
          <w:szCs w:val="22"/>
          <w:lang w:val="en"/>
        </w:rPr>
        <w:t>Transforming our world: the 2030 Agenda for Sustainable Development</w:t>
      </w:r>
      <w:r w:rsidRPr="001C72A7">
        <w:rPr>
          <w:rFonts w:eastAsia="Arial" w:cs="Times New Roman"/>
          <w:noProof/>
          <w:sz w:val="22"/>
          <w:szCs w:val="22"/>
          <w:lang w:val="en"/>
        </w:rPr>
        <w:t>.</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UN Statistical Division (no date) </w:t>
      </w:r>
      <w:r w:rsidRPr="001C72A7">
        <w:rPr>
          <w:rFonts w:eastAsia="Arial" w:cs="Times New Roman"/>
          <w:i/>
          <w:iCs/>
          <w:noProof/>
          <w:sz w:val="22"/>
          <w:szCs w:val="22"/>
          <w:lang w:val="en"/>
        </w:rPr>
        <w:t>Standard country or area codes for statistical use (M49)</w:t>
      </w:r>
      <w:r w:rsidRPr="001C72A7">
        <w:rPr>
          <w:rFonts w:eastAsia="Arial" w:cs="Times New Roman"/>
          <w:noProof/>
          <w:sz w:val="22"/>
          <w:szCs w:val="22"/>
          <w:lang w:val="en"/>
        </w:rPr>
        <w:t xml:space="preserve">, </w:t>
      </w:r>
      <w:r w:rsidRPr="001C72A7">
        <w:rPr>
          <w:rFonts w:eastAsia="Arial" w:cs="Times New Roman"/>
          <w:i/>
          <w:iCs/>
          <w:noProof/>
          <w:sz w:val="22"/>
          <w:szCs w:val="22"/>
          <w:lang w:val="en"/>
        </w:rPr>
        <w:t>UN Statistical Division</w:t>
      </w:r>
      <w:r w:rsidRPr="001C72A7">
        <w:rPr>
          <w:rFonts w:eastAsia="Arial" w:cs="Times New Roman"/>
          <w:noProof/>
          <w:sz w:val="22"/>
          <w:szCs w:val="22"/>
          <w:lang w:val="en"/>
        </w:rPr>
        <w:t>. Available at: https://unstats.un.org/unsd/methodology/m49/ (Accessed: 13 June 2020).</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i/>
          <w:iCs/>
          <w:noProof/>
          <w:sz w:val="22"/>
          <w:szCs w:val="22"/>
          <w:lang w:val="en"/>
        </w:rPr>
        <w:t>UN Stats Open SDG Data Hub</w:t>
      </w:r>
      <w:r w:rsidRPr="001C72A7">
        <w:rPr>
          <w:rFonts w:eastAsia="Arial" w:cs="Times New Roman"/>
          <w:noProof/>
          <w:sz w:val="22"/>
          <w:szCs w:val="22"/>
          <w:lang w:val="en"/>
        </w:rPr>
        <w:t xml:space="preserve"> (2019) </w:t>
      </w:r>
      <w:r w:rsidRPr="001C72A7">
        <w:rPr>
          <w:rFonts w:eastAsia="Arial" w:cs="Times New Roman"/>
          <w:i/>
          <w:iCs/>
          <w:noProof/>
          <w:sz w:val="22"/>
          <w:szCs w:val="22"/>
          <w:lang w:val="en"/>
        </w:rPr>
        <w:t>UN DESA Statistics Division</w:t>
      </w:r>
      <w:r w:rsidRPr="001C72A7">
        <w:rPr>
          <w:rFonts w:eastAsia="Arial" w:cs="Times New Roman"/>
          <w:noProof/>
          <w:sz w:val="22"/>
          <w:szCs w:val="22"/>
          <w:lang w:val="en"/>
        </w:rPr>
        <w:t>. Available at: http://unstats-undesa.opendata.arcgis.com/search?groupIds=065896a584ca4ceb920fbdd3892bee05 (Accessed: 19 May 2020).</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UNICEF, WHO and World Bank (2019) </w:t>
      </w:r>
      <w:r w:rsidRPr="001C72A7">
        <w:rPr>
          <w:rFonts w:eastAsia="Arial" w:cs="Times New Roman"/>
          <w:i/>
          <w:iCs/>
          <w:noProof/>
          <w:sz w:val="22"/>
          <w:szCs w:val="22"/>
          <w:lang w:val="en"/>
        </w:rPr>
        <w:t>Joint child malnutrition estimates (global and regional), April 2019 edition</w:t>
      </w:r>
      <w:r w:rsidRPr="001C72A7">
        <w:rPr>
          <w:rFonts w:eastAsia="Arial" w:cs="Times New Roman"/>
          <w:noProof/>
          <w:sz w:val="22"/>
          <w:szCs w:val="22"/>
          <w:lang w:val="en"/>
        </w:rPr>
        <w:t xml:space="preserve">, </w:t>
      </w:r>
      <w:r w:rsidRPr="001C72A7">
        <w:rPr>
          <w:rFonts w:eastAsia="Arial" w:cs="Times New Roman"/>
          <w:i/>
          <w:iCs/>
          <w:noProof/>
          <w:sz w:val="22"/>
          <w:szCs w:val="22"/>
          <w:lang w:val="en"/>
        </w:rPr>
        <w:t>UNICEF Data: Monitoring the situation of children and women</w:t>
      </w:r>
      <w:r w:rsidRPr="001C72A7">
        <w:rPr>
          <w:rFonts w:eastAsia="Arial" w:cs="Times New Roman"/>
          <w:noProof/>
          <w:sz w:val="22"/>
          <w:szCs w:val="22"/>
          <w:lang w:val="en"/>
        </w:rPr>
        <w:t>. Available at: https://data.unicef.org/topic/nutrition/malnutrition/ (Accessed: 20 September 2009).</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UNICEF, WHO and World Bank Group (2017) </w:t>
      </w:r>
      <w:r w:rsidRPr="001C72A7">
        <w:rPr>
          <w:rFonts w:eastAsia="Arial" w:cs="Times New Roman"/>
          <w:i/>
          <w:iCs/>
          <w:noProof/>
          <w:sz w:val="22"/>
          <w:szCs w:val="22"/>
          <w:lang w:val="en"/>
        </w:rPr>
        <w:t>LEVELS AND TRENDS IN CHILD MALNUTRITION</w:t>
      </w:r>
      <w:r w:rsidRPr="001C72A7">
        <w:rPr>
          <w:rFonts w:eastAsia="Arial" w:cs="Times New Roman"/>
          <w:noProof/>
          <w:sz w:val="22"/>
          <w:szCs w:val="22"/>
          <w:lang w:val="en"/>
        </w:rPr>
        <w:t xml:space="preserve">, </w:t>
      </w:r>
      <w:r w:rsidRPr="001C72A7">
        <w:rPr>
          <w:rFonts w:eastAsia="Arial" w:cs="Times New Roman"/>
          <w:i/>
          <w:iCs/>
          <w:noProof/>
          <w:sz w:val="22"/>
          <w:szCs w:val="22"/>
          <w:lang w:val="en"/>
        </w:rPr>
        <w:t>Key findings of the 2017 edition</w:t>
      </w:r>
      <w:r w:rsidRPr="001C72A7">
        <w:rPr>
          <w:rFonts w:eastAsia="Arial" w:cs="Times New Roman"/>
          <w:noProof/>
          <w:sz w:val="22"/>
          <w:szCs w:val="22"/>
          <w:lang w:val="en"/>
        </w:rPr>
        <w:t>. UNICEF WHO World Bank Group. doi: 10.1042/cs0470143.</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United Nations (no date) </w:t>
      </w:r>
      <w:r w:rsidRPr="001C72A7">
        <w:rPr>
          <w:rFonts w:eastAsia="Arial" w:cs="Times New Roman"/>
          <w:i/>
          <w:iCs/>
          <w:noProof/>
          <w:sz w:val="22"/>
          <w:szCs w:val="22"/>
          <w:lang w:val="en"/>
        </w:rPr>
        <w:t>SDG Indicators Regional groupings used in 2017 Report and Statistical Annex</w:t>
      </w:r>
      <w:r w:rsidRPr="001C72A7">
        <w:rPr>
          <w:rFonts w:eastAsia="Arial" w:cs="Times New Roman"/>
          <w:noProof/>
          <w:sz w:val="22"/>
          <w:szCs w:val="22"/>
          <w:lang w:val="en"/>
        </w:rPr>
        <w:t>. Available at: https://unstats.un.org/sdgs/indicators/regional-groups/ (Accessed: 13 June 2020).</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United Nations Economic Commission for Africa (2017) </w:t>
      </w:r>
      <w:r w:rsidRPr="001C72A7">
        <w:rPr>
          <w:rFonts w:eastAsia="Arial" w:cs="Times New Roman"/>
          <w:i/>
          <w:iCs/>
          <w:noProof/>
          <w:sz w:val="22"/>
          <w:szCs w:val="22"/>
          <w:lang w:val="en"/>
        </w:rPr>
        <w:t>Economic Report on Africa 2017: Urbanization and Industrialization for Africa’s Transformation</w:t>
      </w:r>
      <w:r w:rsidRPr="001C72A7">
        <w:rPr>
          <w:rFonts w:eastAsia="Arial" w:cs="Times New Roman"/>
          <w:noProof/>
          <w:sz w:val="22"/>
          <w:szCs w:val="22"/>
          <w:lang w:val="en"/>
        </w:rPr>
        <w:t>. Addis Ababa, Ethiopia All.</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UNOCHA (2019) </w:t>
      </w:r>
      <w:r w:rsidRPr="001C72A7">
        <w:rPr>
          <w:rFonts w:eastAsia="Arial" w:cs="Times New Roman"/>
          <w:i/>
          <w:iCs/>
          <w:noProof/>
          <w:sz w:val="22"/>
          <w:szCs w:val="22"/>
          <w:lang w:val="en"/>
        </w:rPr>
        <w:t>United nations coordinated support to people affected by disaster and conflict</w:t>
      </w:r>
      <w:r w:rsidRPr="001C72A7">
        <w:rPr>
          <w:rFonts w:eastAsia="Arial" w:cs="Times New Roman"/>
          <w:noProof/>
          <w:sz w:val="22"/>
          <w:szCs w:val="22"/>
          <w:lang w:val="en"/>
        </w:rPr>
        <w:t>.</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UNOHCHR (1966) </w:t>
      </w:r>
      <w:r w:rsidRPr="001C72A7">
        <w:rPr>
          <w:rFonts w:eastAsia="Arial" w:cs="Times New Roman"/>
          <w:i/>
          <w:iCs/>
          <w:noProof/>
          <w:sz w:val="22"/>
          <w:szCs w:val="22"/>
          <w:lang w:val="en"/>
        </w:rPr>
        <w:t>The United Nations international covenant on economic, social and cultural rights</w:t>
      </w:r>
      <w:r w:rsidRPr="001C72A7">
        <w:rPr>
          <w:rFonts w:eastAsia="Arial" w:cs="Times New Roman"/>
          <w:noProof/>
          <w:sz w:val="22"/>
          <w:szCs w:val="22"/>
          <w:lang w:val="en"/>
        </w:rPr>
        <w:t xml:space="preserve">, </w:t>
      </w:r>
      <w:r w:rsidRPr="001C72A7">
        <w:rPr>
          <w:rFonts w:eastAsia="Arial" w:cs="Times New Roman"/>
          <w:i/>
          <w:iCs/>
          <w:noProof/>
          <w:sz w:val="22"/>
          <w:szCs w:val="22"/>
          <w:lang w:val="en"/>
        </w:rPr>
        <w:t>International Covenant on Economic, Social and Cultural Rights</w:t>
      </w:r>
      <w:r w:rsidRPr="001C72A7">
        <w:rPr>
          <w:rFonts w:eastAsia="Arial" w:cs="Times New Roman"/>
          <w:noProof/>
          <w:sz w:val="22"/>
          <w:szCs w:val="22"/>
          <w:lang w:val="en"/>
        </w:rPr>
        <w:t>. doi: 10.1017/CBO9780511575372.009.</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UNSDG and UN (2020) </w:t>
      </w:r>
      <w:r w:rsidRPr="001C72A7">
        <w:rPr>
          <w:rFonts w:eastAsia="Arial" w:cs="Times New Roman"/>
          <w:i/>
          <w:iCs/>
          <w:noProof/>
          <w:sz w:val="22"/>
          <w:szCs w:val="22"/>
          <w:lang w:val="en"/>
        </w:rPr>
        <w:t>SDG Indicators — SDG Indicators</w:t>
      </w:r>
      <w:r w:rsidRPr="001C72A7">
        <w:rPr>
          <w:rFonts w:eastAsia="Arial" w:cs="Times New Roman"/>
          <w:noProof/>
          <w:sz w:val="22"/>
          <w:szCs w:val="22"/>
          <w:lang w:val="en"/>
        </w:rPr>
        <w:t xml:space="preserve">, </w:t>
      </w:r>
      <w:r w:rsidRPr="001C72A7">
        <w:rPr>
          <w:rFonts w:eastAsia="Arial" w:cs="Times New Roman"/>
          <w:i/>
          <w:iCs/>
          <w:noProof/>
          <w:sz w:val="22"/>
          <w:szCs w:val="22"/>
          <w:lang w:val="en"/>
        </w:rPr>
        <w:t>Metadata repository</w:t>
      </w:r>
      <w:r w:rsidRPr="001C72A7">
        <w:rPr>
          <w:rFonts w:eastAsia="Arial" w:cs="Times New Roman"/>
          <w:noProof/>
          <w:sz w:val="22"/>
          <w:szCs w:val="22"/>
          <w:lang w:val="en"/>
        </w:rPr>
        <w:t>. Available at: https://unstats.un.org/sdgs/indicators/regional-groups/ (Accessed: 19 May 2020).</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Webb, P. </w:t>
      </w:r>
      <w:r w:rsidRPr="001C72A7">
        <w:rPr>
          <w:rFonts w:eastAsia="Arial" w:cs="Times New Roman"/>
          <w:i/>
          <w:iCs/>
          <w:noProof/>
          <w:sz w:val="22"/>
          <w:szCs w:val="22"/>
          <w:lang w:val="en"/>
        </w:rPr>
        <w:t>et al.</w:t>
      </w:r>
      <w:r w:rsidRPr="001C72A7">
        <w:rPr>
          <w:rFonts w:eastAsia="Arial" w:cs="Times New Roman"/>
          <w:noProof/>
          <w:sz w:val="22"/>
          <w:szCs w:val="22"/>
          <w:lang w:val="en"/>
        </w:rPr>
        <w:t xml:space="preserve"> (2018) ‘Hunger and malnutrition in the 21st century’, </w:t>
      </w:r>
      <w:r w:rsidRPr="001C72A7">
        <w:rPr>
          <w:rFonts w:eastAsia="Arial" w:cs="Times New Roman"/>
          <w:i/>
          <w:iCs/>
          <w:noProof/>
          <w:sz w:val="22"/>
          <w:szCs w:val="22"/>
          <w:lang w:val="en"/>
        </w:rPr>
        <w:t>BMJ (Online)</w:t>
      </w:r>
      <w:r w:rsidRPr="001C72A7">
        <w:rPr>
          <w:rFonts w:eastAsia="Arial" w:cs="Times New Roman"/>
          <w:noProof/>
          <w:sz w:val="22"/>
          <w:szCs w:val="22"/>
          <w:lang w:val="en"/>
        </w:rPr>
        <w:t>, 361, pp. 1–5. doi: 10.1136/bmj.k2238.</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Whitaker, R. C., Phillips, S. M. and Orzol, S. M. (2006) ‘Food insecurity and the risks of depression and anxiety in mothers and behavior problems in their preschool-aged children’, </w:t>
      </w:r>
      <w:r w:rsidRPr="001C72A7">
        <w:rPr>
          <w:rFonts w:eastAsia="Arial" w:cs="Times New Roman"/>
          <w:i/>
          <w:iCs/>
          <w:noProof/>
          <w:sz w:val="22"/>
          <w:szCs w:val="22"/>
          <w:lang w:val="en"/>
        </w:rPr>
        <w:t>Pediatrics</w:t>
      </w:r>
      <w:r w:rsidRPr="001C72A7">
        <w:rPr>
          <w:rFonts w:eastAsia="Arial" w:cs="Times New Roman"/>
          <w:noProof/>
          <w:sz w:val="22"/>
          <w:szCs w:val="22"/>
          <w:lang w:val="en"/>
        </w:rPr>
        <w:t>, 118(3). doi: 10.1542/peds.2006-0239.</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WHO (2010) </w:t>
      </w:r>
      <w:r w:rsidRPr="001C72A7">
        <w:rPr>
          <w:rFonts w:eastAsia="Arial" w:cs="Times New Roman"/>
          <w:i/>
          <w:iCs/>
          <w:noProof/>
          <w:sz w:val="22"/>
          <w:szCs w:val="22"/>
          <w:lang w:val="en"/>
        </w:rPr>
        <w:t>Interpretation Guide Nutrition Landscape Information System (NLIS) Country Profile indiCators</w:t>
      </w:r>
      <w:r w:rsidRPr="001C72A7">
        <w:rPr>
          <w:rFonts w:eastAsia="Arial" w:cs="Times New Roman"/>
          <w:noProof/>
          <w:sz w:val="22"/>
          <w:szCs w:val="22"/>
          <w:lang w:val="en"/>
        </w:rPr>
        <w:t>.</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WHO (2014) </w:t>
      </w:r>
      <w:r w:rsidRPr="001C72A7">
        <w:rPr>
          <w:rFonts w:eastAsia="Arial" w:cs="Times New Roman"/>
          <w:i/>
          <w:iCs/>
          <w:noProof/>
          <w:sz w:val="22"/>
          <w:szCs w:val="22"/>
          <w:lang w:val="en"/>
        </w:rPr>
        <w:t>Global Nutrition Targets 2025 Stunting Policy Brief</w:t>
      </w:r>
      <w:r w:rsidRPr="001C72A7">
        <w:rPr>
          <w:rFonts w:eastAsia="Arial" w:cs="Times New Roman"/>
          <w:noProof/>
          <w:sz w:val="22"/>
          <w:szCs w:val="22"/>
          <w:lang w:val="en"/>
        </w:rPr>
        <w:t>. Geneva, Switzerland.</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WHO (2017) </w:t>
      </w:r>
      <w:r w:rsidRPr="001C72A7">
        <w:rPr>
          <w:rFonts w:eastAsia="Arial" w:cs="Times New Roman"/>
          <w:i/>
          <w:iCs/>
          <w:noProof/>
          <w:sz w:val="22"/>
          <w:szCs w:val="22"/>
          <w:lang w:val="en"/>
        </w:rPr>
        <w:t>Sudan Humanitarian Response Plan</w:t>
      </w:r>
      <w:r w:rsidRPr="001C72A7">
        <w:rPr>
          <w:rFonts w:eastAsia="Arial" w:cs="Times New Roman"/>
          <w:noProof/>
          <w:sz w:val="22"/>
          <w:szCs w:val="22"/>
          <w:lang w:val="en"/>
        </w:rPr>
        <w:t xml:space="preserve">, </w:t>
      </w:r>
      <w:r w:rsidRPr="001C72A7">
        <w:rPr>
          <w:rFonts w:eastAsia="Arial" w:cs="Times New Roman"/>
          <w:i/>
          <w:iCs/>
          <w:noProof/>
          <w:sz w:val="22"/>
          <w:szCs w:val="22"/>
          <w:lang w:val="en"/>
        </w:rPr>
        <w:t>World Health Organization</w:t>
      </w:r>
      <w:r w:rsidRPr="001C72A7">
        <w:rPr>
          <w:rFonts w:eastAsia="Arial" w:cs="Times New Roman"/>
          <w:noProof/>
          <w:sz w:val="22"/>
          <w:szCs w:val="22"/>
          <w:lang w:val="en"/>
        </w:rPr>
        <w:t>. Available at: https://www.who.int/emergencies/response-plans/2017/sudan/en/ (Accessed: 4 November 2020).</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WHO (2018) </w:t>
      </w:r>
      <w:r w:rsidRPr="001C72A7">
        <w:rPr>
          <w:rFonts w:eastAsia="Arial" w:cs="Times New Roman"/>
          <w:i/>
          <w:iCs/>
          <w:noProof/>
          <w:sz w:val="22"/>
          <w:szCs w:val="22"/>
          <w:lang w:val="en"/>
        </w:rPr>
        <w:t>Global hunger continues to rise, new UN report says</w:t>
      </w:r>
      <w:r w:rsidRPr="001C72A7">
        <w:rPr>
          <w:rFonts w:eastAsia="Arial" w:cs="Times New Roman"/>
          <w:noProof/>
          <w:sz w:val="22"/>
          <w:szCs w:val="22"/>
          <w:lang w:val="en"/>
        </w:rPr>
        <w:t xml:space="preserve">, </w:t>
      </w:r>
      <w:r w:rsidRPr="001C72A7">
        <w:rPr>
          <w:rFonts w:eastAsia="Arial" w:cs="Times New Roman"/>
          <w:i/>
          <w:iCs/>
          <w:noProof/>
          <w:sz w:val="22"/>
          <w:szCs w:val="22"/>
          <w:lang w:val="en"/>
        </w:rPr>
        <w:t>World Health Organization</w:t>
      </w:r>
      <w:r w:rsidRPr="001C72A7">
        <w:rPr>
          <w:rFonts w:eastAsia="Arial" w:cs="Times New Roman"/>
          <w:noProof/>
          <w:sz w:val="22"/>
          <w:szCs w:val="22"/>
          <w:lang w:val="en"/>
        </w:rPr>
        <w:t>. Available at: https://www.who.int/news-room/detail/11-09-2018-global-hunger-continues-to-rise---new-un-report-says (Accessed: 8 April 2020).</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WHO (2019) </w:t>
      </w:r>
      <w:r w:rsidRPr="001C72A7">
        <w:rPr>
          <w:rFonts w:eastAsia="Arial" w:cs="Times New Roman"/>
          <w:i/>
          <w:iCs/>
          <w:noProof/>
          <w:sz w:val="22"/>
          <w:szCs w:val="22"/>
          <w:lang w:val="en"/>
        </w:rPr>
        <w:t>Global Health Observatory (GHO) data on Child Malnutrition</w:t>
      </w:r>
      <w:r w:rsidRPr="001C72A7">
        <w:rPr>
          <w:rFonts w:eastAsia="Arial" w:cs="Times New Roman"/>
          <w:noProof/>
          <w:sz w:val="22"/>
          <w:szCs w:val="22"/>
          <w:lang w:val="en"/>
        </w:rPr>
        <w:t xml:space="preserve">, </w:t>
      </w:r>
      <w:r w:rsidRPr="001C72A7">
        <w:rPr>
          <w:rFonts w:eastAsia="Arial" w:cs="Times New Roman"/>
          <w:i/>
          <w:iCs/>
          <w:noProof/>
          <w:sz w:val="22"/>
          <w:szCs w:val="22"/>
          <w:lang w:val="en"/>
        </w:rPr>
        <w:t>World Health Organization</w:t>
      </w:r>
      <w:r w:rsidRPr="001C72A7">
        <w:rPr>
          <w:rFonts w:eastAsia="Arial" w:cs="Times New Roman"/>
          <w:noProof/>
          <w:sz w:val="22"/>
          <w:szCs w:val="22"/>
          <w:lang w:val="en"/>
        </w:rPr>
        <w:t>. Available at: https://www.who.int/gho/child-malnutrition/en/ (Accessed: 4 November 2020).</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World Bank (2019) </w:t>
      </w:r>
      <w:r w:rsidRPr="001C72A7">
        <w:rPr>
          <w:rFonts w:eastAsia="Arial" w:cs="Times New Roman"/>
          <w:i/>
          <w:iCs/>
          <w:noProof/>
          <w:sz w:val="22"/>
          <w:szCs w:val="22"/>
          <w:lang w:val="en"/>
        </w:rPr>
        <w:t>Sustainable Development Goals (SDGs) | DataBank</w:t>
      </w:r>
      <w:r w:rsidRPr="001C72A7">
        <w:rPr>
          <w:rFonts w:eastAsia="Arial" w:cs="Times New Roman"/>
          <w:noProof/>
          <w:sz w:val="22"/>
          <w:szCs w:val="22"/>
          <w:lang w:val="en"/>
        </w:rPr>
        <w:t xml:space="preserve">, </w:t>
      </w:r>
      <w:r w:rsidRPr="001C72A7">
        <w:rPr>
          <w:rFonts w:eastAsia="Arial" w:cs="Times New Roman"/>
          <w:i/>
          <w:iCs/>
          <w:noProof/>
          <w:sz w:val="22"/>
          <w:szCs w:val="22"/>
          <w:lang w:val="en"/>
        </w:rPr>
        <w:t>Databank</w:t>
      </w:r>
      <w:r w:rsidRPr="001C72A7">
        <w:rPr>
          <w:rFonts w:eastAsia="Arial" w:cs="Times New Roman"/>
          <w:noProof/>
          <w:sz w:val="22"/>
          <w:szCs w:val="22"/>
          <w:lang w:val="en"/>
        </w:rPr>
        <w:t>. Available at: https://databank.worldbank.org/reports.aspx?source=sustainable-development-goals-(sdgs) (Accessed: 19 May 2020).</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World Bank (no date) </w:t>
      </w:r>
      <w:r w:rsidRPr="001C72A7">
        <w:rPr>
          <w:rFonts w:eastAsia="Arial" w:cs="Times New Roman"/>
          <w:i/>
          <w:iCs/>
          <w:noProof/>
          <w:sz w:val="22"/>
          <w:szCs w:val="22"/>
          <w:lang w:val="en"/>
        </w:rPr>
        <w:t>Sustainable Development Goals (SDG) | Data Catalog</w:t>
      </w:r>
      <w:r w:rsidRPr="001C72A7">
        <w:rPr>
          <w:rFonts w:eastAsia="Arial" w:cs="Times New Roman"/>
          <w:noProof/>
          <w:sz w:val="22"/>
          <w:szCs w:val="22"/>
          <w:lang w:val="en"/>
        </w:rPr>
        <w:t>. Available at: https://datacatalog.worldbank.org/dataset/sustainable-development-goals (Accessed: 19 May 2020).</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i/>
          <w:iCs/>
          <w:noProof/>
          <w:sz w:val="22"/>
          <w:szCs w:val="22"/>
          <w:lang w:val="en"/>
        </w:rPr>
        <w:t>World Development Indicators</w:t>
      </w:r>
      <w:r w:rsidRPr="001C72A7">
        <w:rPr>
          <w:rFonts w:eastAsia="Arial" w:cs="Times New Roman"/>
          <w:noProof/>
          <w:sz w:val="22"/>
          <w:szCs w:val="22"/>
          <w:lang w:val="en"/>
        </w:rPr>
        <w:t xml:space="preserve"> (2017) </w:t>
      </w:r>
      <w:r w:rsidRPr="001C72A7">
        <w:rPr>
          <w:rFonts w:eastAsia="Arial" w:cs="Times New Roman"/>
          <w:i/>
          <w:iCs/>
          <w:noProof/>
          <w:sz w:val="22"/>
          <w:szCs w:val="22"/>
          <w:lang w:val="en"/>
        </w:rPr>
        <w:t>World Development Indicators, The World Bank</w:t>
      </w:r>
      <w:r w:rsidRPr="001C72A7">
        <w:rPr>
          <w:rFonts w:eastAsia="Arial" w:cs="Times New Roman"/>
          <w:noProof/>
          <w:sz w:val="22"/>
          <w:szCs w:val="22"/>
          <w:lang w:val="en"/>
        </w:rPr>
        <w:t>. Available at: https://openknowledge.worldbank.org/handle/10986/26447 (Accessed: 13 June 2020).</w:t>
      </w:r>
    </w:p>
    <w:p w:rsidR="001C72A7" w:rsidRPr="001C72A7" w:rsidRDefault="001C72A7" w:rsidP="001C72A7">
      <w:pPr>
        <w:widowControl w:val="0"/>
        <w:autoSpaceDE w:val="0"/>
        <w:autoSpaceDN w:val="0"/>
        <w:adjustRightInd w:val="0"/>
        <w:spacing w:before="240" w:after="240" w:line="360" w:lineRule="auto"/>
        <w:rPr>
          <w:rFonts w:eastAsia="Arial" w:cs="Times New Roman"/>
          <w:noProof/>
          <w:sz w:val="22"/>
          <w:szCs w:val="22"/>
          <w:lang w:val="en"/>
        </w:rPr>
      </w:pPr>
      <w:r w:rsidRPr="001C72A7">
        <w:rPr>
          <w:rFonts w:eastAsia="Arial" w:cs="Times New Roman"/>
          <w:noProof/>
          <w:sz w:val="22"/>
          <w:szCs w:val="22"/>
          <w:lang w:val="en"/>
        </w:rPr>
        <w:t xml:space="preserve">World Health Organization (2019) </w:t>
      </w:r>
      <w:r w:rsidRPr="001C72A7">
        <w:rPr>
          <w:rFonts w:eastAsia="Arial" w:cs="Times New Roman"/>
          <w:i/>
          <w:iCs/>
          <w:noProof/>
          <w:sz w:val="22"/>
          <w:szCs w:val="22"/>
          <w:lang w:val="en"/>
        </w:rPr>
        <w:t>Children: reducing mortality</w:t>
      </w:r>
      <w:r w:rsidRPr="001C72A7">
        <w:rPr>
          <w:rFonts w:eastAsia="Arial" w:cs="Times New Roman"/>
          <w:noProof/>
          <w:sz w:val="22"/>
          <w:szCs w:val="22"/>
          <w:lang w:val="en"/>
        </w:rPr>
        <w:t>. Available at: https://www.who.int/news-room/fact-sheets/detail/children-reducing-mortality (Accessed: 8 April 2020).</w:t>
      </w:r>
    </w:p>
    <w:p w:rsidR="001C72A7" w:rsidRPr="001C72A7" w:rsidRDefault="001C72A7" w:rsidP="001C72A7">
      <w:pPr>
        <w:widowControl w:val="0"/>
        <w:autoSpaceDE w:val="0"/>
        <w:autoSpaceDN w:val="0"/>
        <w:adjustRightInd w:val="0"/>
        <w:spacing w:before="240" w:after="240" w:line="360" w:lineRule="auto"/>
        <w:rPr>
          <w:rFonts w:eastAsia="Times New Roman" w:cs="Times New Roman"/>
          <w:sz w:val="22"/>
          <w:szCs w:val="22"/>
          <w:highlight w:val="white"/>
          <w:lang w:val="en"/>
        </w:rPr>
      </w:pPr>
      <w:r w:rsidRPr="001C72A7">
        <w:rPr>
          <w:rFonts w:eastAsia="Times New Roman" w:cs="Times New Roman"/>
          <w:b/>
          <w:sz w:val="22"/>
          <w:szCs w:val="22"/>
          <w:lang w:val="en"/>
        </w:rPr>
        <w:fldChar w:fldCharType="end"/>
      </w:r>
    </w:p>
    <w:sectPr w:rsidR="001C72A7" w:rsidRPr="001C72A7" w:rsidSect="00D8273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512"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7D2" w:rsidRPr="00215F0B" w:rsidRDefault="00FA37D2" w:rsidP="008957B1">
      <w:pPr>
        <w:rPr>
          <w:sz w:val="18"/>
          <w:szCs w:val="18"/>
        </w:rPr>
      </w:pPr>
      <w:r w:rsidRPr="00215F0B">
        <w:rPr>
          <w:sz w:val="18"/>
          <w:szCs w:val="18"/>
        </w:rPr>
        <w:separator/>
      </w:r>
    </w:p>
    <w:p w:rsidR="00FA37D2" w:rsidRPr="00215F0B" w:rsidRDefault="00FA37D2" w:rsidP="008957B1">
      <w:pPr>
        <w:rPr>
          <w:sz w:val="18"/>
          <w:szCs w:val="18"/>
        </w:rPr>
      </w:pPr>
    </w:p>
    <w:p w:rsidR="00FA37D2" w:rsidRPr="00215F0B" w:rsidRDefault="00FA37D2">
      <w:pPr>
        <w:rPr>
          <w:sz w:val="18"/>
          <w:szCs w:val="18"/>
        </w:rPr>
      </w:pPr>
    </w:p>
    <w:p w:rsidR="00FA37D2" w:rsidRPr="00215F0B" w:rsidRDefault="00FA37D2">
      <w:pPr>
        <w:rPr>
          <w:sz w:val="17"/>
          <w:szCs w:val="17"/>
        </w:rPr>
      </w:pPr>
    </w:p>
  </w:endnote>
  <w:endnote w:type="continuationSeparator" w:id="0">
    <w:p w:rsidR="00FA37D2" w:rsidRPr="00215F0B" w:rsidRDefault="00FA37D2" w:rsidP="008957B1">
      <w:pPr>
        <w:rPr>
          <w:sz w:val="18"/>
          <w:szCs w:val="18"/>
        </w:rPr>
      </w:pPr>
      <w:r w:rsidRPr="00215F0B">
        <w:rPr>
          <w:sz w:val="18"/>
          <w:szCs w:val="18"/>
        </w:rPr>
        <w:continuationSeparator/>
      </w:r>
    </w:p>
    <w:p w:rsidR="00FA37D2" w:rsidRPr="00215F0B" w:rsidRDefault="00FA37D2" w:rsidP="008957B1">
      <w:pPr>
        <w:rPr>
          <w:sz w:val="18"/>
          <w:szCs w:val="18"/>
        </w:rPr>
      </w:pPr>
    </w:p>
    <w:p w:rsidR="00FA37D2" w:rsidRPr="00215F0B" w:rsidRDefault="00FA37D2">
      <w:pPr>
        <w:rPr>
          <w:sz w:val="18"/>
          <w:szCs w:val="18"/>
        </w:rPr>
      </w:pPr>
    </w:p>
    <w:p w:rsidR="00FA37D2" w:rsidRPr="00215F0B" w:rsidRDefault="00FA37D2">
      <w:pPr>
        <w:rPr>
          <w:sz w:val="17"/>
          <w:szCs w:val="17"/>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sz w:val="16"/>
        <w:szCs w:val="16"/>
      </w:rPr>
      <w:id w:val="-2040661570"/>
      <w:docPartObj>
        <w:docPartGallery w:val="Page Numbers (Bottom of Page)"/>
        <w:docPartUnique/>
      </w:docPartObj>
    </w:sdtPr>
    <w:sdtEndPr>
      <w:rPr>
        <w:rStyle w:val="Nmerodepgina"/>
      </w:rPr>
    </w:sdtEndPr>
    <w:sdtContent>
      <w:p w:rsidR="00570077" w:rsidRPr="00215F0B" w:rsidRDefault="00570077" w:rsidP="00E15475">
        <w:pPr>
          <w:pStyle w:val="Piedepgina"/>
          <w:framePr w:wrap="none" w:vAnchor="text" w:hAnchor="margin" w:xAlign="outside" w:y="1"/>
          <w:rPr>
            <w:rStyle w:val="Nmerodepgina"/>
            <w:sz w:val="16"/>
            <w:szCs w:val="16"/>
          </w:rPr>
        </w:pPr>
        <w:r w:rsidRPr="00215F0B">
          <w:rPr>
            <w:rStyle w:val="Nmerodepgina"/>
            <w:sz w:val="16"/>
            <w:szCs w:val="16"/>
          </w:rPr>
          <w:fldChar w:fldCharType="begin"/>
        </w:r>
        <w:r w:rsidRPr="00215F0B">
          <w:rPr>
            <w:rStyle w:val="Nmerodepgina"/>
            <w:sz w:val="16"/>
            <w:szCs w:val="16"/>
          </w:rPr>
          <w:instrText xml:space="preserve"> PAGE </w:instrText>
        </w:r>
        <w:r w:rsidRPr="00215F0B">
          <w:rPr>
            <w:rStyle w:val="Nmerodepgina"/>
            <w:sz w:val="16"/>
            <w:szCs w:val="16"/>
          </w:rPr>
          <w:fldChar w:fldCharType="separate"/>
        </w:r>
        <w:r w:rsidR="0042554A">
          <w:rPr>
            <w:rStyle w:val="Nmerodepgina"/>
            <w:noProof/>
            <w:sz w:val="16"/>
            <w:szCs w:val="16"/>
          </w:rPr>
          <w:t>20</w:t>
        </w:r>
        <w:r w:rsidRPr="00215F0B">
          <w:rPr>
            <w:rStyle w:val="Nmerodepgina"/>
            <w:sz w:val="16"/>
            <w:szCs w:val="16"/>
          </w:rPr>
          <w:fldChar w:fldCharType="end"/>
        </w:r>
      </w:p>
    </w:sdtContent>
  </w:sdt>
  <w:p w:rsidR="00570077" w:rsidRPr="00215F0B" w:rsidRDefault="00570077" w:rsidP="00D82730">
    <w:pPr>
      <w:pStyle w:val="Piedepgina"/>
      <w:ind w:right="360" w:firstLine="360"/>
      <w:rPr>
        <w:sz w:val="16"/>
        <w:szCs w:val="16"/>
      </w:rPr>
    </w:pPr>
    <w:r w:rsidRPr="00215F0B">
      <w:rPr>
        <w:sz w:val="16"/>
        <w:szCs w:val="16"/>
      </w:rPr>
      <w:t>Beyond Borders 1(</w:t>
    </w:r>
    <w:r>
      <w:rPr>
        <w:sz w:val="16"/>
        <w:szCs w:val="16"/>
      </w:rPr>
      <w:t>2</w:t>
    </w:r>
    <w:r w:rsidRPr="00215F0B">
      <w:rPr>
        <w:sz w:val="16"/>
        <w:szCs w:val="16"/>
      </w:rPr>
      <w:t>)</w:t>
    </w:r>
  </w:p>
  <w:p w:rsidR="00570077" w:rsidRPr="00215F0B" w:rsidRDefault="00570077" w:rsidP="00D82730">
    <w:pPr>
      <w:pStyle w:val="Piedepgina"/>
      <w:ind w:firstLine="360"/>
      <w:rPr>
        <w:sz w:val="16"/>
        <w:szCs w:val="16"/>
      </w:rPr>
    </w:pPr>
    <w:r w:rsidRPr="00215F0B">
      <w:rPr>
        <w:sz w:val="16"/>
        <w:szCs w:val="16"/>
      </w:rPr>
      <w:t>Published by Boston College School of Social Work and Boston College Libraries</w:t>
    </w:r>
  </w:p>
  <w:p w:rsidR="00570077" w:rsidRPr="00215F0B" w:rsidRDefault="00570077">
    <w:pPr>
      <w:rPr>
        <w:sz w:val="18"/>
        <w:szCs w:val="18"/>
      </w:rPr>
    </w:pPr>
  </w:p>
  <w:p w:rsidR="00570077" w:rsidRPr="00215F0B" w:rsidRDefault="00570077">
    <w:pPr>
      <w:rPr>
        <w:sz w:val="17"/>
        <w:szCs w:val="17"/>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sz w:val="16"/>
        <w:szCs w:val="16"/>
      </w:rPr>
      <w:id w:val="-661237568"/>
      <w:docPartObj>
        <w:docPartGallery w:val="Page Numbers (Bottom of Page)"/>
        <w:docPartUnique/>
      </w:docPartObj>
    </w:sdtPr>
    <w:sdtEndPr>
      <w:rPr>
        <w:rStyle w:val="Nmerodepgina"/>
      </w:rPr>
    </w:sdtEndPr>
    <w:sdtContent>
      <w:p w:rsidR="00570077" w:rsidRPr="00215F0B" w:rsidRDefault="00570077" w:rsidP="00E15475">
        <w:pPr>
          <w:pStyle w:val="Piedepgina"/>
          <w:framePr w:wrap="none" w:vAnchor="text" w:hAnchor="margin" w:xAlign="outside" w:y="1"/>
          <w:rPr>
            <w:rStyle w:val="Nmerodepgina"/>
            <w:sz w:val="16"/>
            <w:szCs w:val="16"/>
          </w:rPr>
        </w:pPr>
        <w:r w:rsidRPr="00215F0B">
          <w:rPr>
            <w:rStyle w:val="Nmerodepgina"/>
            <w:sz w:val="16"/>
            <w:szCs w:val="16"/>
          </w:rPr>
          <w:fldChar w:fldCharType="begin"/>
        </w:r>
        <w:r w:rsidRPr="00215F0B">
          <w:rPr>
            <w:rStyle w:val="Nmerodepgina"/>
            <w:sz w:val="16"/>
            <w:szCs w:val="16"/>
          </w:rPr>
          <w:instrText xml:space="preserve"> PAGE </w:instrText>
        </w:r>
        <w:r w:rsidRPr="00215F0B">
          <w:rPr>
            <w:rStyle w:val="Nmerodepgina"/>
            <w:sz w:val="16"/>
            <w:szCs w:val="16"/>
          </w:rPr>
          <w:fldChar w:fldCharType="separate"/>
        </w:r>
        <w:r w:rsidR="0042554A">
          <w:rPr>
            <w:rStyle w:val="Nmerodepgina"/>
            <w:noProof/>
            <w:sz w:val="16"/>
            <w:szCs w:val="16"/>
          </w:rPr>
          <w:t>19</w:t>
        </w:r>
        <w:r w:rsidRPr="00215F0B">
          <w:rPr>
            <w:rStyle w:val="Nmerodepgina"/>
            <w:sz w:val="16"/>
            <w:szCs w:val="16"/>
          </w:rPr>
          <w:fldChar w:fldCharType="end"/>
        </w:r>
      </w:p>
    </w:sdtContent>
  </w:sdt>
  <w:p w:rsidR="00570077" w:rsidRPr="00570077" w:rsidRDefault="00570077" w:rsidP="00D82730">
    <w:pPr>
      <w:pStyle w:val="Piedepgina"/>
      <w:ind w:right="360"/>
      <w:rPr>
        <w:szCs w:val="18"/>
      </w:rPr>
    </w:pPr>
    <w:r w:rsidRPr="00570077">
      <w:rPr>
        <w:szCs w:val="18"/>
      </w:rPr>
      <w:t>Beyond Borders: Advances in Social Welfare</w:t>
    </w:r>
  </w:p>
  <w:p w:rsidR="00570077" w:rsidRPr="00570077" w:rsidRDefault="00570077" w:rsidP="0065798A">
    <w:pPr>
      <w:pStyle w:val="Piedepgina"/>
      <w:rPr>
        <w:szCs w:val="18"/>
      </w:rPr>
    </w:pPr>
    <w:r w:rsidRPr="00570077">
      <w:rPr>
        <w:szCs w:val="18"/>
      </w:rPr>
      <w:t>Volume 1 / Issue 2 / December 2021</w:t>
    </w:r>
  </w:p>
  <w:p w:rsidR="00570077" w:rsidRPr="00215F0B" w:rsidRDefault="00570077">
    <w:pPr>
      <w:rPr>
        <w:sz w:val="18"/>
        <w:szCs w:val="18"/>
      </w:rPr>
    </w:pPr>
  </w:p>
  <w:p w:rsidR="00570077" w:rsidRPr="00215F0B" w:rsidRDefault="00570077">
    <w:pPr>
      <w:rPr>
        <w:sz w:val="17"/>
        <w:szCs w:val="17"/>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sz w:val="16"/>
        <w:szCs w:val="16"/>
      </w:rPr>
      <w:id w:val="1927694068"/>
      <w:docPartObj>
        <w:docPartGallery w:val="Page Numbers (Bottom of Page)"/>
        <w:docPartUnique/>
      </w:docPartObj>
    </w:sdtPr>
    <w:sdtEndPr>
      <w:rPr>
        <w:rStyle w:val="Nmerodepgina"/>
      </w:rPr>
    </w:sdtEndPr>
    <w:sdtContent>
      <w:p w:rsidR="00570077" w:rsidRPr="00215F0B" w:rsidRDefault="00570077" w:rsidP="00E15475">
        <w:pPr>
          <w:pStyle w:val="Piedepgina"/>
          <w:framePr w:wrap="none" w:vAnchor="text" w:hAnchor="margin" w:xAlign="outside" w:y="1"/>
          <w:rPr>
            <w:rStyle w:val="Nmerodepgina"/>
            <w:sz w:val="16"/>
            <w:szCs w:val="16"/>
          </w:rPr>
        </w:pPr>
        <w:r w:rsidRPr="00215F0B">
          <w:rPr>
            <w:rStyle w:val="Nmerodepgina"/>
            <w:sz w:val="16"/>
            <w:szCs w:val="16"/>
          </w:rPr>
          <w:fldChar w:fldCharType="begin"/>
        </w:r>
        <w:r w:rsidRPr="00215F0B">
          <w:rPr>
            <w:rStyle w:val="Nmerodepgina"/>
            <w:sz w:val="16"/>
            <w:szCs w:val="16"/>
          </w:rPr>
          <w:instrText xml:space="preserve"> PAGE </w:instrText>
        </w:r>
        <w:r w:rsidRPr="00215F0B">
          <w:rPr>
            <w:rStyle w:val="Nmerodepgina"/>
            <w:sz w:val="16"/>
            <w:szCs w:val="16"/>
          </w:rPr>
          <w:fldChar w:fldCharType="separate"/>
        </w:r>
        <w:r w:rsidR="00FA37D2">
          <w:rPr>
            <w:rStyle w:val="Nmerodepgina"/>
            <w:noProof/>
            <w:sz w:val="16"/>
            <w:szCs w:val="16"/>
          </w:rPr>
          <w:t>1</w:t>
        </w:r>
        <w:r w:rsidRPr="00215F0B">
          <w:rPr>
            <w:rStyle w:val="Nmerodepgina"/>
            <w:sz w:val="16"/>
            <w:szCs w:val="16"/>
          </w:rPr>
          <w:fldChar w:fldCharType="end"/>
        </w:r>
      </w:p>
    </w:sdtContent>
  </w:sdt>
  <w:p w:rsidR="00570077" w:rsidRPr="00570077" w:rsidRDefault="00570077" w:rsidP="00D82730">
    <w:pPr>
      <w:pStyle w:val="Piedepgina"/>
      <w:ind w:right="360"/>
      <w:rPr>
        <w:szCs w:val="18"/>
      </w:rPr>
    </w:pPr>
    <w:r w:rsidRPr="00570077">
      <w:rPr>
        <w:szCs w:val="18"/>
      </w:rPr>
      <w:t>Beyond Borders: Advances in Global Welfare</w:t>
    </w:r>
  </w:p>
  <w:p w:rsidR="00570077" w:rsidRPr="00215F0B" w:rsidRDefault="00570077" w:rsidP="0065798A">
    <w:pPr>
      <w:pStyle w:val="Piedepgina"/>
      <w:rPr>
        <w:sz w:val="16"/>
        <w:szCs w:val="16"/>
      </w:rPr>
    </w:pPr>
    <w:r w:rsidRPr="00570077">
      <w:rPr>
        <w:szCs w:val="18"/>
      </w:rPr>
      <w:t>Volume 1 / Issue 2 / December 2021</w:t>
    </w:r>
    <w:r w:rsidRPr="00215F0B">
      <w:rPr>
        <w:sz w:val="16"/>
        <w:szCs w:val="16"/>
      </w:rPr>
      <w:tab/>
    </w:r>
  </w:p>
  <w:p w:rsidR="00570077" w:rsidRPr="00215F0B" w:rsidRDefault="00570077">
    <w:pPr>
      <w:rPr>
        <w:sz w:val="18"/>
        <w:szCs w:val="18"/>
      </w:rPr>
    </w:pPr>
  </w:p>
  <w:p w:rsidR="00570077" w:rsidRPr="00215F0B" w:rsidRDefault="00570077">
    <w:pPr>
      <w:rPr>
        <w:sz w:val="17"/>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7D2" w:rsidRPr="00215F0B" w:rsidRDefault="00FA37D2" w:rsidP="008957B1">
      <w:pPr>
        <w:rPr>
          <w:sz w:val="18"/>
          <w:szCs w:val="18"/>
        </w:rPr>
      </w:pPr>
      <w:r w:rsidRPr="00215F0B">
        <w:rPr>
          <w:sz w:val="18"/>
          <w:szCs w:val="18"/>
        </w:rPr>
        <w:separator/>
      </w:r>
    </w:p>
    <w:p w:rsidR="00FA37D2" w:rsidRPr="00215F0B" w:rsidRDefault="00FA37D2" w:rsidP="008957B1">
      <w:pPr>
        <w:rPr>
          <w:sz w:val="18"/>
          <w:szCs w:val="18"/>
        </w:rPr>
      </w:pPr>
    </w:p>
    <w:p w:rsidR="00FA37D2" w:rsidRPr="00215F0B" w:rsidRDefault="00FA37D2">
      <w:pPr>
        <w:rPr>
          <w:sz w:val="18"/>
          <w:szCs w:val="18"/>
        </w:rPr>
      </w:pPr>
    </w:p>
    <w:p w:rsidR="00FA37D2" w:rsidRPr="00215F0B" w:rsidRDefault="00FA37D2">
      <w:pPr>
        <w:rPr>
          <w:sz w:val="17"/>
          <w:szCs w:val="17"/>
        </w:rPr>
      </w:pPr>
    </w:p>
  </w:footnote>
  <w:footnote w:type="continuationSeparator" w:id="0">
    <w:p w:rsidR="00FA37D2" w:rsidRPr="00215F0B" w:rsidRDefault="00FA37D2" w:rsidP="008957B1">
      <w:pPr>
        <w:rPr>
          <w:sz w:val="18"/>
          <w:szCs w:val="18"/>
        </w:rPr>
      </w:pPr>
      <w:r w:rsidRPr="00215F0B">
        <w:rPr>
          <w:sz w:val="18"/>
          <w:szCs w:val="18"/>
        </w:rPr>
        <w:continuationSeparator/>
      </w:r>
    </w:p>
    <w:p w:rsidR="00FA37D2" w:rsidRPr="00215F0B" w:rsidRDefault="00FA37D2" w:rsidP="008957B1">
      <w:pPr>
        <w:rPr>
          <w:sz w:val="18"/>
          <w:szCs w:val="18"/>
        </w:rPr>
      </w:pPr>
    </w:p>
    <w:p w:rsidR="00FA37D2" w:rsidRPr="00215F0B" w:rsidRDefault="00FA37D2">
      <w:pPr>
        <w:rPr>
          <w:sz w:val="18"/>
          <w:szCs w:val="18"/>
        </w:rPr>
      </w:pPr>
    </w:p>
    <w:p w:rsidR="00FA37D2" w:rsidRPr="00215F0B" w:rsidRDefault="00FA37D2">
      <w:pPr>
        <w:rPr>
          <w:sz w:val="17"/>
          <w:szCs w:val="17"/>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077" w:rsidRPr="00570077" w:rsidRDefault="00570077" w:rsidP="00570077">
    <w:pPr>
      <w:spacing w:line="360" w:lineRule="auto"/>
      <w:rPr>
        <w:rFonts w:eastAsia="Times New Roman" w:cs="Times New Roman"/>
        <w:sz w:val="18"/>
        <w:szCs w:val="18"/>
        <w:lang w:val="en"/>
      </w:rPr>
    </w:pPr>
    <w:r w:rsidRPr="00570077">
      <w:rPr>
        <w:sz w:val="18"/>
        <w:szCs w:val="18"/>
      </w:rPr>
      <w:t xml:space="preserve">Lombe, M et al. </w:t>
    </w:r>
    <w:r w:rsidRPr="00570077">
      <w:rPr>
        <w:rFonts w:eastAsia="Times New Roman" w:cs="Times New Roman"/>
        <w:sz w:val="18"/>
        <w:szCs w:val="18"/>
        <w:lang w:val="en"/>
      </w:rPr>
      <w:t xml:space="preserve"> Pathways to child food insecurity in Sub-Saharan Africa: Utilizing the Sustainable Development Goals Framework and Implications for Social Work</w:t>
    </w:r>
  </w:p>
  <w:p w:rsidR="00570077" w:rsidRPr="00215F0B" w:rsidRDefault="00570077" w:rsidP="0065798A">
    <w:pPr>
      <w:pStyle w:val="Encabezado"/>
      <w:rPr>
        <w:sz w:val="16"/>
        <w:szCs w:val="16"/>
      </w:rPr>
    </w:pPr>
  </w:p>
  <w:p w:rsidR="00570077" w:rsidRPr="00215F0B" w:rsidRDefault="00570077">
    <w:pPr>
      <w:rPr>
        <w:sz w:val="18"/>
        <w:szCs w:val="18"/>
      </w:rPr>
    </w:pPr>
  </w:p>
  <w:p w:rsidR="00570077" w:rsidRPr="00215F0B" w:rsidRDefault="00570077">
    <w:pPr>
      <w:rPr>
        <w:sz w:val="17"/>
        <w:szCs w:val="17"/>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077" w:rsidRPr="00215F0B" w:rsidRDefault="00570077" w:rsidP="0065798A">
    <w:pPr>
      <w:pStyle w:val="Encabezado"/>
      <w:rPr>
        <w:sz w:val="16"/>
        <w:szCs w:val="16"/>
      </w:rPr>
    </w:pPr>
    <w:r w:rsidRPr="00215F0B">
      <w:rPr>
        <w:sz w:val="16"/>
        <w:szCs w:val="16"/>
      </w:rPr>
      <w:t>doi: 10.1093/optional</w:t>
    </w:r>
  </w:p>
  <w:p w:rsidR="00570077" w:rsidRPr="00215F0B" w:rsidRDefault="00570077">
    <w:pPr>
      <w:rPr>
        <w:sz w:val="18"/>
        <w:szCs w:val="18"/>
      </w:rPr>
    </w:pPr>
  </w:p>
  <w:p w:rsidR="00570077" w:rsidRPr="00215F0B" w:rsidRDefault="00570077">
    <w:pPr>
      <w:rPr>
        <w:sz w:val="17"/>
        <w:szCs w:val="17"/>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077" w:rsidRPr="001C72A7" w:rsidRDefault="00570077" w:rsidP="001C72A7">
    <w:pPr>
      <w:spacing w:line="240" w:lineRule="auto"/>
      <w:jc w:val="center"/>
      <w:rPr>
        <w:rFonts w:eastAsia="Times New Roman" w:cs="Times New Roman"/>
        <w:b/>
        <w:sz w:val="22"/>
        <w:szCs w:val="22"/>
        <w:lang w:val="en"/>
      </w:rPr>
    </w:pPr>
    <w:r w:rsidRPr="001C72A7">
      <w:rPr>
        <w:rFonts w:eastAsia="Times New Roman" w:cs="Times New Roman"/>
        <w:b/>
        <w:sz w:val="22"/>
        <w:szCs w:val="22"/>
        <w:lang w:val="en"/>
      </w:rPr>
      <w:t>Pathways to child food insecurity in Sub-Saharan Africa: Utilizing the Sustainable Development Goals Framework and Implications for Social Work</w:t>
    </w:r>
  </w:p>
  <w:p w:rsidR="00570077" w:rsidRPr="00215F0B" w:rsidRDefault="00570077" w:rsidP="0065798A">
    <w:pPr>
      <w:rPr>
        <w:sz w:val="18"/>
        <w:szCs w:val="18"/>
      </w:rPr>
    </w:pPr>
  </w:p>
  <w:p w:rsidR="00570077" w:rsidRDefault="00570077" w:rsidP="0065798A">
    <w:pPr>
      <w:rPr>
        <w:sz w:val="18"/>
        <w:szCs w:val="18"/>
      </w:rPr>
    </w:pPr>
  </w:p>
  <w:p w:rsidR="00570077" w:rsidRDefault="00570077" w:rsidP="0065798A">
    <w:pPr>
      <w:rPr>
        <w:sz w:val="18"/>
        <w:szCs w:val="18"/>
      </w:rPr>
    </w:pPr>
  </w:p>
  <w:p w:rsidR="00570077" w:rsidRDefault="00570077" w:rsidP="00570077">
    <w:pPr>
      <w:rPr>
        <w:sz w:val="18"/>
        <w:szCs w:val="18"/>
      </w:rPr>
    </w:pPr>
    <w:r>
      <w:rPr>
        <w:sz w:val="18"/>
        <w:szCs w:val="18"/>
      </w:rPr>
      <w:tab/>
    </w:r>
    <w:r w:rsidRPr="00215F0B">
      <w:rPr>
        <w:noProof/>
        <w:sz w:val="18"/>
        <w:szCs w:val="18"/>
        <w:lang w:val="es-ES" w:eastAsia="es-ES"/>
      </w:rPr>
      <w:drawing>
        <wp:anchor distT="0" distB="0" distL="114300" distR="114300" simplePos="0" relativeHeight="251658240" behindDoc="0" locked="0" layoutInCell="1" allowOverlap="1" wp14:anchorId="28DB212F" wp14:editId="7994C24A">
          <wp:simplePos x="0" y="0"/>
          <wp:positionH relativeFrom="page">
            <wp:posOffset>0</wp:posOffset>
          </wp:positionH>
          <wp:positionV relativeFrom="page">
            <wp:posOffset>0</wp:posOffset>
          </wp:positionV>
          <wp:extent cx="7772400" cy="2743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yond-borders-titlepg-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274320"/>
                  </a:xfrm>
                  <a:prstGeom prst="rect">
                    <a:avLst/>
                  </a:prstGeom>
                </pic:spPr>
              </pic:pic>
            </a:graphicData>
          </a:graphic>
          <wp14:sizeRelH relativeFrom="margin">
            <wp14:pctWidth>0</wp14:pctWidth>
          </wp14:sizeRelH>
          <wp14:sizeRelV relativeFrom="margin">
            <wp14:pctHeight>0</wp14:pctHeight>
          </wp14:sizeRelV>
        </wp:anchor>
      </w:drawing>
    </w:r>
    <w:r w:rsidRPr="00215F0B">
      <w:rPr>
        <w:sz w:val="18"/>
        <w:szCs w:val="18"/>
      </w:rPr>
      <w:t>Lombe, M</w:t>
    </w:r>
    <w:r>
      <w:rPr>
        <w:sz w:val="18"/>
        <w:szCs w:val="18"/>
      </w:rPr>
      <w:t>*</w:t>
    </w:r>
    <w:r w:rsidRPr="00215F0B">
      <w:rPr>
        <w:sz w:val="18"/>
        <w:szCs w:val="18"/>
      </w:rPr>
      <w:t>., Chu</w:t>
    </w:r>
    <w:r w:rsidR="0042554A">
      <w:rPr>
        <w:sz w:val="16"/>
        <w:szCs w:val="16"/>
      </w:rPr>
      <w:t xml:space="preserve">, </w:t>
    </w:r>
    <w:r w:rsidRPr="00215F0B">
      <w:rPr>
        <w:sz w:val="18"/>
        <w:szCs w:val="18"/>
      </w:rPr>
      <w:t>Y</w:t>
    </w:r>
    <w:r w:rsidR="0042554A" w:rsidRPr="0042554A">
      <w:rPr>
        <w:sz w:val="16"/>
        <w:szCs w:val="16"/>
      </w:rPr>
      <w:t>1</w:t>
    </w:r>
    <w:r w:rsidRPr="00215F0B">
      <w:rPr>
        <w:sz w:val="18"/>
        <w:szCs w:val="18"/>
      </w:rPr>
      <w:t>., Rao, S</w:t>
    </w:r>
    <w:r w:rsidR="0042554A" w:rsidRPr="0042554A">
      <w:rPr>
        <w:sz w:val="16"/>
        <w:szCs w:val="16"/>
      </w:rPr>
      <w:t>1</w:t>
    </w:r>
    <w:r w:rsidRPr="00215F0B">
      <w:rPr>
        <w:sz w:val="18"/>
        <w:szCs w:val="18"/>
      </w:rPr>
      <w:t>. &amp; Wang, K.</w:t>
    </w:r>
    <w:r w:rsidR="0042554A" w:rsidRPr="0042554A">
      <w:rPr>
        <w:sz w:val="16"/>
        <w:szCs w:val="16"/>
      </w:rPr>
      <w:t xml:space="preserve"> </w:t>
    </w:r>
    <w:r w:rsidR="0042554A" w:rsidRPr="0042554A">
      <w:rPr>
        <w:sz w:val="16"/>
        <w:szCs w:val="16"/>
      </w:rPr>
      <w:t>1</w:t>
    </w:r>
  </w:p>
  <w:p w:rsidR="00691C04" w:rsidRDefault="0042554A" w:rsidP="00691C04">
    <w:pPr>
      <w:pStyle w:val="Indent-Paragraph"/>
    </w:pPr>
    <w:r>
      <w:t>*</w:t>
    </w:r>
    <w:r w:rsidR="00691C04">
      <w:t xml:space="preserve">Social Work School. Boston </w:t>
    </w:r>
    <w:r>
      <w:t>University</w:t>
    </w:r>
  </w:p>
  <w:p w:rsidR="0042554A" w:rsidRPr="00691C04" w:rsidRDefault="0042554A" w:rsidP="00691C04">
    <w:pPr>
      <w:pStyle w:val="Indent-Paragraph"/>
    </w:pPr>
    <w:r w:rsidRPr="0042554A">
      <w:rPr>
        <w:sz w:val="16"/>
        <w:szCs w:val="16"/>
      </w:rPr>
      <w:t>1</w:t>
    </w:r>
    <w:r>
      <w:rPr>
        <w:sz w:val="16"/>
        <w:szCs w:val="16"/>
      </w:rPr>
      <w:t xml:space="preserve"> </w:t>
    </w:r>
    <w:bookmarkStart w:id="0" w:name="_GoBack"/>
    <w:bookmarkEnd w:id="0"/>
    <w:r>
      <w:t>Social Work School. Boston College</w:t>
    </w:r>
  </w:p>
  <w:p w:rsidR="00570077" w:rsidRDefault="00570077" w:rsidP="00570077">
    <w:pPr>
      <w:pStyle w:val="Indent-Paragraph"/>
    </w:pPr>
  </w:p>
  <w:p w:rsidR="00570077" w:rsidRPr="00570077" w:rsidRDefault="0042554A" w:rsidP="00570077">
    <w:pPr>
      <w:pStyle w:val="Indent-Paragraph"/>
    </w:pPr>
    <w:hyperlink r:id="rId2" w:history="1">
      <w:r w:rsidRPr="004660D4">
        <w:rPr>
          <w:rStyle w:val="Hipervnculo"/>
        </w:rPr>
        <w:t>margaret.lombe@bc.edu</w:t>
      </w:r>
    </w:hyperlink>
    <w:r>
      <w:t xml:space="preserve">     </w:t>
    </w:r>
    <w:r w:rsidRPr="0042554A">
      <w:rPr>
        <w:sz w:val="16"/>
        <w:szCs w:val="16"/>
      </w:rPr>
      <w:t xml:space="preserve"> </w:t>
    </w:r>
  </w:p>
  <w:p w:rsidR="00570077" w:rsidRDefault="00570077" w:rsidP="00570077">
    <w:pPr>
      <w:pStyle w:val="Indent-Paragraph"/>
    </w:pPr>
  </w:p>
  <w:p w:rsidR="00570077" w:rsidRPr="00570077" w:rsidRDefault="00570077" w:rsidP="00570077">
    <w:pPr>
      <w:pStyle w:val="Indent-Paragraph"/>
    </w:pPr>
  </w:p>
  <w:p w:rsidR="00570077" w:rsidRPr="00215F0B" w:rsidRDefault="00570077" w:rsidP="001C72A7">
    <w:pPr>
      <w:pStyle w:val="Indent-Paragraph"/>
      <w:rPr>
        <w:sz w:val="18"/>
        <w:szCs w:val="18"/>
      </w:rPr>
    </w:pPr>
  </w:p>
  <w:p w:rsidR="00570077" w:rsidRPr="00215F0B" w:rsidRDefault="00570077">
    <w:pPr>
      <w:rPr>
        <w:sz w:val="18"/>
        <w:szCs w:val="18"/>
      </w:rPr>
    </w:pPr>
  </w:p>
  <w:p w:rsidR="00570077" w:rsidRPr="00215F0B" w:rsidRDefault="00570077">
    <w:pPr>
      <w:rPr>
        <w:sz w:val="17"/>
        <w:szCs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EF"/>
    <w:rsid w:val="00023903"/>
    <w:rsid w:val="00024275"/>
    <w:rsid w:val="001C72A7"/>
    <w:rsid w:val="001E1F8F"/>
    <w:rsid w:val="00215F0B"/>
    <w:rsid w:val="00296B7A"/>
    <w:rsid w:val="00345EA9"/>
    <w:rsid w:val="00403DD6"/>
    <w:rsid w:val="0042554A"/>
    <w:rsid w:val="00570077"/>
    <w:rsid w:val="0059332B"/>
    <w:rsid w:val="005A7B54"/>
    <w:rsid w:val="005C3CB9"/>
    <w:rsid w:val="0063417B"/>
    <w:rsid w:val="006420CF"/>
    <w:rsid w:val="0065798A"/>
    <w:rsid w:val="00691C04"/>
    <w:rsid w:val="00743B92"/>
    <w:rsid w:val="0076322E"/>
    <w:rsid w:val="008957B1"/>
    <w:rsid w:val="00972CD7"/>
    <w:rsid w:val="009A52A5"/>
    <w:rsid w:val="009C098C"/>
    <w:rsid w:val="00A81193"/>
    <w:rsid w:val="00B55FCE"/>
    <w:rsid w:val="00B613AB"/>
    <w:rsid w:val="00B87750"/>
    <w:rsid w:val="00C42D27"/>
    <w:rsid w:val="00CB106A"/>
    <w:rsid w:val="00CD59EF"/>
    <w:rsid w:val="00CF7EB2"/>
    <w:rsid w:val="00D82730"/>
    <w:rsid w:val="00DC583A"/>
    <w:rsid w:val="00DE5EE6"/>
    <w:rsid w:val="00E10C93"/>
    <w:rsid w:val="00E15475"/>
    <w:rsid w:val="00E26B03"/>
    <w:rsid w:val="00E672CF"/>
    <w:rsid w:val="00F105FC"/>
    <w:rsid w:val="00F31A83"/>
    <w:rsid w:val="00F57F6F"/>
    <w:rsid w:val="00FA37D2"/>
    <w:rsid w:val="00FB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B9103"/>
  <w15:chartTrackingRefBased/>
  <w15:docId w15:val="{5AB2DE9A-0B76-4D41-9626-BB448A46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nt-Paragraph"/>
    <w:qFormat/>
    <w:rsid w:val="008957B1"/>
    <w:pPr>
      <w:spacing w:line="276" w:lineRule="auto"/>
    </w:pPr>
    <w:rPr>
      <w:rFonts w:ascii="Times New Roman" w:hAnsi="Times New Roman"/>
      <w:sz w:val="20"/>
    </w:rPr>
  </w:style>
  <w:style w:type="paragraph" w:styleId="Ttulo1">
    <w:name w:val="heading 1"/>
    <w:basedOn w:val="Normal"/>
    <w:next w:val="Normal"/>
    <w:link w:val="Ttulo1Car"/>
    <w:uiPriority w:val="9"/>
    <w:qFormat/>
    <w:rsid w:val="0065798A"/>
    <w:pPr>
      <w:keepNext/>
      <w:keepLines/>
      <w:spacing w:before="240"/>
      <w:outlineLvl w:val="0"/>
    </w:pPr>
    <w:rPr>
      <w:rFonts w:ascii="Verdana" w:eastAsiaTheme="majorEastAsia" w:hAnsi="Verdana" w:cs="Times New Roman (Headings CS)"/>
      <w:b/>
      <w:caps/>
      <w:color w:val="000000" w:themeColor="text1"/>
      <w:szCs w:val="32"/>
    </w:rPr>
  </w:style>
  <w:style w:type="paragraph" w:styleId="Ttulo2">
    <w:name w:val="heading 2"/>
    <w:basedOn w:val="Normal"/>
    <w:next w:val="Normal"/>
    <w:link w:val="Ttulo2Car"/>
    <w:uiPriority w:val="9"/>
    <w:semiHidden/>
    <w:unhideWhenUsed/>
    <w:qFormat/>
    <w:rsid w:val="0065798A"/>
    <w:pPr>
      <w:keepNext/>
      <w:keepLines/>
      <w:spacing w:before="40"/>
      <w:outlineLvl w:val="1"/>
    </w:pPr>
    <w:rPr>
      <w:rFonts w:ascii="Verdana" w:eastAsiaTheme="majorEastAsia" w:hAnsi="Verdana" w:cstheme="majorBidi"/>
      <w:i/>
      <w:color w:val="000000" w:themeColor="text1"/>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Piedepgina"/>
    <w:link w:val="EncabezadoCar"/>
    <w:uiPriority w:val="99"/>
    <w:unhideWhenUsed/>
    <w:rsid w:val="0065798A"/>
    <w:pPr>
      <w:pBdr>
        <w:bottom w:val="single" w:sz="4" w:space="1" w:color="auto"/>
      </w:pBdr>
    </w:pPr>
  </w:style>
  <w:style w:type="character" w:customStyle="1" w:styleId="EncabezadoCar">
    <w:name w:val="Encabezado Car"/>
    <w:basedOn w:val="Fuentedeprrafopredeter"/>
    <w:link w:val="Encabezado"/>
    <w:uiPriority w:val="99"/>
    <w:rsid w:val="0065798A"/>
    <w:rPr>
      <w:rFonts w:ascii="Times New Roman" w:hAnsi="Times New Roman"/>
      <w:sz w:val="18"/>
    </w:rPr>
  </w:style>
  <w:style w:type="paragraph" w:styleId="Piedepgina">
    <w:name w:val="footer"/>
    <w:basedOn w:val="Normal"/>
    <w:link w:val="PiedepginaCar"/>
    <w:uiPriority w:val="99"/>
    <w:unhideWhenUsed/>
    <w:rsid w:val="0065798A"/>
    <w:pPr>
      <w:tabs>
        <w:tab w:val="center" w:pos="4680"/>
        <w:tab w:val="right" w:pos="9360"/>
      </w:tabs>
    </w:pPr>
    <w:rPr>
      <w:sz w:val="18"/>
    </w:rPr>
  </w:style>
  <w:style w:type="character" w:customStyle="1" w:styleId="PiedepginaCar">
    <w:name w:val="Pie de página Car"/>
    <w:basedOn w:val="Fuentedeprrafopredeter"/>
    <w:link w:val="Piedepgina"/>
    <w:uiPriority w:val="99"/>
    <w:rsid w:val="0065798A"/>
    <w:rPr>
      <w:rFonts w:ascii="Times New Roman" w:hAnsi="Times New Roman"/>
      <w:sz w:val="18"/>
    </w:rPr>
  </w:style>
  <w:style w:type="character" w:styleId="Nmerodepgina">
    <w:name w:val="page number"/>
    <w:basedOn w:val="Fuentedeprrafopredeter"/>
    <w:uiPriority w:val="99"/>
    <w:semiHidden/>
    <w:unhideWhenUsed/>
    <w:rsid w:val="00CF7EB2"/>
  </w:style>
  <w:style w:type="paragraph" w:customStyle="1" w:styleId="Article-Header">
    <w:name w:val="Article-Header"/>
    <w:basedOn w:val="Normal"/>
    <w:qFormat/>
    <w:rsid w:val="008957B1"/>
    <w:rPr>
      <w:rFonts w:ascii="Verdana" w:hAnsi="Verdana" w:cs="Times New Roman (Body CS)"/>
      <w:b/>
      <w:caps/>
      <w:noProof/>
      <w:szCs w:val="20"/>
    </w:rPr>
  </w:style>
  <w:style w:type="paragraph" w:customStyle="1" w:styleId="Indent-Paragraph">
    <w:name w:val="Indent-Paragraph"/>
    <w:basedOn w:val="Normal"/>
    <w:qFormat/>
    <w:rsid w:val="008957B1"/>
    <w:pPr>
      <w:ind w:firstLine="720"/>
    </w:pPr>
  </w:style>
  <w:style w:type="paragraph" w:styleId="Subttulo">
    <w:name w:val="Subtitle"/>
    <w:basedOn w:val="Normal"/>
    <w:next w:val="Normal"/>
    <w:link w:val="SubttuloCar"/>
    <w:uiPriority w:val="11"/>
    <w:qFormat/>
    <w:rsid w:val="0065798A"/>
    <w:pPr>
      <w:numPr>
        <w:ilvl w:val="1"/>
      </w:numPr>
    </w:pPr>
    <w:rPr>
      <w:rFonts w:ascii="Verdana" w:eastAsiaTheme="minorEastAsia" w:hAnsi="Verdana" w:cs="Times New Roman (Body CS)"/>
      <w:i/>
      <w:color w:val="000000" w:themeColor="text1"/>
      <w:szCs w:val="22"/>
    </w:rPr>
  </w:style>
  <w:style w:type="character" w:customStyle="1" w:styleId="SubttuloCar">
    <w:name w:val="Subtítulo Car"/>
    <w:basedOn w:val="Fuentedeprrafopredeter"/>
    <w:link w:val="Subttulo"/>
    <w:uiPriority w:val="11"/>
    <w:rsid w:val="0065798A"/>
    <w:rPr>
      <w:rFonts w:ascii="Verdana" w:eastAsiaTheme="minorEastAsia" w:hAnsi="Verdana" w:cs="Times New Roman (Body CS)"/>
      <w:i/>
      <w:color w:val="000000" w:themeColor="text1"/>
      <w:sz w:val="20"/>
      <w:szCs w:val="22"/>
    </w:rPr>
  </w:style>
  <w:style w:type="paragraph" w:styleId="Ttulo">
    <w:name w:val="Title"/>
    <w:basedOn w:val="Normal"/>
    <w:next w:val="Normal"/>
    <w:link w:val="TtuloCar"/>
    <w:uiPriority w:val="10"/>
    <w:qFormat/>
    <w:rsid w:val="008957B1"/>
    <w:pPr>
      <w:spacing w:line="240" w:lineRule="auto"/>
      <w:contextualSpacing/>
    </w:pPr>
    <w:rPr>
      <w:rFonts w:eastAsiaTheme="majorEastAsia" w:cs="Times New Roman (Headings CS)"/>
      <w:kern w:val="28"/>
      <w:sz w:val="36"/>
      <w:szCs w:val="56"/>
    </w:rPr>
  </w:style>
  <w:style w:type="character" w:customStyle="1" w:styleId="TtuloCar">
    <w:name w:val="Título Car"/>
    <w:basedOn w:val="Fuentedeprrafopredeter"/>
    <w:link w:val="Ttulo"/>
    <w:uiPriority w:val="10"/>
    <w:rsid w:val="008957B1"/>
    <w:rPr>
      <w:rFonts w:ascii="Times New Roman" w:eastAsiaTheme="majorEastAsia" w:hAnsi="Times New Roman" w:cs="Times New Roman (Headings CS)"/>
      <w:kern w:val="28"/>
      <w:sz w:val="36"/>
      <w:szCs w:val="56"/>
    </w:rPr>
  </w:style>
  <w:style w:type="paragraph" w:customStyle="1" w:styleId="Authors">
    <w:name w:val="Authors"/>
    <w:basedOn w:val="Normal"/>
    <w:qFormat/>
    <w:rsid w:val="0065798A"/>
    <w:rPr>
      <w:rFonts w:ascii="Verdana" w:hAnsi="Verdana"/>
    </w:rPr>
  </w:style>
  <w:style w:type="character" w:styleId="Textoennegrita">
    <w:name w:val="Strong"/>
    <w:basedOn w:val="Fuentedeprrafopredeter"/>
    <w:uiPriority w:val="22"/>
    <w:qFormat/>
    <w:rsid w:val="0065798A"/>
    <w:rPr>
      <w:b/>
      <w:bCs/>
    </w:rPr>
  </w:style>
  <w:style w:type="character" w:styleId="nfasis">
    <w:name w:val="Emphasis"/>
    <w:basedOn w:val="Fuentedeprrafopredeter"/>
    <w:uiPriority w:val="20"/>
    <w:qFormat/>
    <w:rsid w:val="0065798A"/>
    <w:rPr>
      <w:i/>
      <w:iCs/>
    </w:rPr>
  </w:style>
  <w:style w:type="character" w:styleId="nfasisintenso">
    <w:name w:val="Intense Emphasis"/>
    <w:basedOn w:val="Fuentedeprrafopredeter"/>
    <w:uiPriority w:val="21"/>
    <w:qFormat/>
    <w:rsid w:val="0065798A"/>
    <w:rPr>
      <w:i/>
      <w:iCs/>
      <w:color w:val="4472C4" w:themeColor="accent1"/>
    </w:rPr>
  </w:style>
  <w:style w:type="character" w:customStyle="1" w:styleId="Ttulo1Car">
    <w:name w:val="Título 1 Car"/>
    <w:basedOn w:val="Fuentedeprrafopredeter"/>
    <w:link w:val="Ttulo1"/>
    <w:uiPriority w:val="9"/>
    <w:rsid w:val="0065798A"/>
    <w:rPr>
      <w:rFonts w:ascii="Verdana" w:eastAsiaTheme="majorEastAsia" w:hAnsi="Verdana" w:cs="Times New Roman (Headings CS)"/>
      <w:b/>
      <w:caps/>
      <w:color w:val="000000" w:themeColor="text1"/>
      <w:sz w:val="20"/>
      <w:szCs w:val="32"/>
    </w:rPr>
  </w:style>
  <w:style w:type="character" w:customStyle="1" w:styleId="Ttulo2Car">
    <w:name w:val="Título 2 Car"/>
    <w:basedOn w:val="Fuentedeprrafopredeter"/>
    <w:link w:val="Ttulo2"/>
    <w:uiPriority w:val="9"/>
    <w:semiHidden/>
    <w:rsid w:val="0065798A"/>
    <w:rPr>
      <w:rFonts w:ascii="Verdana" w:eastAsiaTheme="majorEastAsia" w:hAnsi="Verdana" w:cstheme="majorBidi"/>
      <w:i/>
      <w:color w:val="000000" w:themeColor="text1"/>
      <w:sz w:val="20"/>
      <w:szCs w:val="26"/>
    </w:rPr>
  </w:style>
  <w:style w:type="paragraph" w:styleId="Citadestacada">
    <w:name w:val="Intense Quote"/>
    <w:basedOn w:val="Normal"/>
    <w:next w:val="Normal"/>
    <w:link w:val="CitadestacadaCar"/>
    <w:uiPriority w:val="30"/>
    <w:qFormat/>
    <w:rsid w:val="0065798A"/>
    <w:pPr>
      <w:pBdr>
        <w:top w:val="single" w:sz="4" w:space="10" w:color="81112B"/>
        <w:bottom w:val="single" w:sz="4" w:space="10" w:color="81112B"/>
      </w:pBdr>
      <w:spacing w:before="360" w:after="360"/>
      <w:ind w:left="864" w:right="864"/>
      <w:jc w:val="center"/>
    </w:pPr>
    <w:rPr>
      <w:i/>
      <w:iCs/>
      <w:color w:val="81112B"/>
    </w:rPr>
  </w:style>
  <w:style w:type="character" w:customStyle="1" w:styleId="CitadestacadaCar">
    <w:name w:val="Cita destacada Car"/>
    <w:basedOn w:val="Fuentedeprrafopredeter"/>
    <w:link w:val="Citadestacada"/>
    <w:uiPriority w:val="30"/>
    <w:rsid w:val="0065798A"/>
    <w:rPr>
      <w:rFonts w:ascii="Times New Roman" w:hAnsi="Times New Roman"/>
      <w:i/>
      <w:iCs/>
      <w:color w:val="81112B"/>
      <w:sz w:val="20"/>
    </w:rPr>
  </w:style>
  <w:style w:type="character" w:styleId="Ttulodellibro">
    <w:name w:val="Book Title"/>
    <w:basedOn w:val="Fuentedeprrafopredeter"/>
    <w:uiPriority w:val="33"/>
    <w:qFormat/>
    <w:rsid w:val="0065798A"/>
    <w:rPr>
      <w:b w:val="0"/>
      <w:bCs/>
      <w:i/>
      <w:iCs/>
      <w:spacing w:val="5"/>
    </w:rPr>
  </w:style>
  <w:style w:type="paragraph" w:styleId="Prrafodelista">
    <w:name w:val="List Paragraph"/>
    <w:basedOn w:val="Normal"/>
    <w:uiPriority w:val="34"/>
    <w:qFormat/>
    <w:rsid w:val="0065798A"/>
    <w:pPr>
      <w:ind w:left="720"/>
      <w:contextualSpacing/>
    </w:pPr>
  </w:style>
  <w:style w:type="table" w:styleId="Tablaconcuadrcula">
    <w:name w:val="Table Grid"/>
    <w:basedOn w:val="Tablanormal"/>
    <w:uiPriority w:val="39"/>
    <w:rsid w:val="00E15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255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9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stats.un.org/unsd/methodology/m49/"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mailto:margaret.lombe@bc.edu" TargetMode="External"/><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Downloads\Beyond%20Borders%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A6615-81EF-4065-B02A-34077053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Beyond Borders Article Template</Template>
  <TotalTime>4</TotalTime>
  <Pages>20</Pages>
  <Words>37889</Words>
  <Characters>208392</Characters>
  <Application>Microsoft Office Word</Application>
  <DocSecurity>0</DocSecurity>
  <Lines>1736</Lines>
  <Paragraphs>491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pablo vidal</cp:lastModifiedBy>
  <cp:revision>4</cp:revision>
  <cp:lastPrinted>2019-06-18T14:49:00Z</cp:lastPrinted>
  <dcterms:created xsi:type="dcterms:W3CDTF">2021-12-19T20:57:00Z</dcterms:created>
  <dcterms:modified xsi:type="dcterms:W3CDTF">2021-12-20T07:19:00Z</dcterms:modified>
</cp:coreProperties>
</file>