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72A7" w:rsidRPr="001C72A7" w:rsidRDefault="001C72A7" w:rsidP="001C72A7">
      <w:pPr>
        <w:spacing w:line="360" w:lineRule="auto"/>
        <w:jc w:val="center"/>
        <w:rPr>
          <w:rFonts w:eastAsia="Times New Roman" w:cs="Times New Roman"/>
          <w:b/>
          <w:bCs/>
          <w:sz w:val="22"/>
          <w:szCs w:val="22"/>
          <w:lang w:val="en"/>
        </w:rPr>
      </w:pPr>
      <w:r w:rsidRPr="001C72A7">
        <w:rPr>
          <w:rFonts w:eastAsia="Times New Roman" w:cs="Times New Roman"/>
          <w:b/>
          <w:bCs/>
          <w:sz w:val="22"/>
          <w:szCs w:val="22"/>
          <w:lang w:val="en"/>
        </w:rPr>
        <w:t>Abstract</w:t>
      </w:r>
    </w:p>
    <w:p w:rsidR="001C72A7" w:rsidRPr="001C72A7" w:rsidRDefault="001C72A7" w:rsidP="001C72A7">
      <w:pPr>
        <w:spacing w:line="360" w:lineRule="auto"/>
        <w:rPr>
          <w:rFonts w:eastAsia="Times New Roman" w:cs="Times New Roman"/>
          <w:i/>
          <w:sz w:val="22"/>
          <w:szCs w:val="22"/>
          <w:lang w:val="en"/>
        </w:rPr>
      </w:pPr>
      <w:r w:rsidRPr="001C72A7">
        <w:rPr>
          <w:rFonts w:eastAsia="Times New Roman" w:cs="Times New Roman"/>
          <w:i/>
          <w:sz w:val="22"/>
          <w:szCs w:val="22"/>
          <w:lang w:val="en"/>
        </w:rPr>
        <w:t xml:space="preserve">The United Nations Sustainable Development Goals offer a framework to advance goals of alleviating poverty and upholding human rights. This exploratory study benchmarks progress on child food security, particularly in the critical geographies of Sub Saharan Africa. The study provides an overview of existing data to facilitate further exploration and offers theoretical and tactical considerations to tackle child food insecurity. A three-pronged approach to understand parallel and intersecting pathways to child food insecurity is proposed. Our evaluation points to the need for future assessments to examine child hunger and malnutrition using more comprehensive data and theoretical frameworks. </w:t>
      </w:r>
    </w:p>
    <w:p w:rsidR="001C72A7" w:rsidRPr="001C72A7" w:rsidRDefault="001C72A7" w:rsidP="001C72A7">
      <w:pPr>
        <w:spacing w:line="360" w:lineRule="auto"/>
        <w:rPr>
          <w:rFonts w:eastAsia="Times New Roman" w:cs="Times New Roman"/>
          <w:sz w:val="22"/>
          <w:szCs w:val="22"/>
          <w:lang w:val="en"/>
        </w:rPr>
      </w:pPr>
      <w:r w:rsidRPr="001C72A7">
        <w:rPr>
          <w:rFonts w:eastAsia="Times New Roman" w:cs="Times New Roman"/>
          <w:b/>
          <w:bCs/>
          <w:sz w:val="22"/>
          <w:szCs w:val="22"/>
          <w:lang w:val="en"/>
        </w:rPr>
        <w:t>Keywords</w:t>
      </w:r>
      <w:r w:rsidRPr="001C72A7">
        <w:rPr>
          <w:rFonts w:eastAsia="Times New Roman" w:cs="Times New Roman"/>
          <w:sz w:val="22"/>
          <w:szCs w:val="22"/>
          <w:lang w:val="en"/>
        </w:rPr>
        <w:t>: UN Sustainable Development Goals; Sub Saharan Africa; Global Social Work; Food Security.</w:t>
      </w:r>
    </w:p>
    <w:p w:rsidR="001C72A7" w:rsidRPr="001C72A7" w:rsidRDefault="001C72A7" w:rsidP="001C72A7">
      <w:pPr>
        <w:spacing w:line="360" w:lineRule="auto"/>
        <w:jc w:val="center"/>
        <w:rPr>
          <w:rFonts w:eastAsia="Times New Roman" w:cs="Times New Roman"/>
          <w:sz w:val="22"/>
          <w:szCs w:val="22"/>
          <w:lang w:val="en"/>
        </w:rPr>
      </w:pPr>
    </w:p>
    <w:p w:rsidR="001C72A7" w:rsidRPr="001C72A7" w:rsidRDefault="001C72A7" w:rsidP="001C72A7">
      <w:pPr>
        <w:spacing w:line="360" w:lineRule="auto"/>
        <w:rPr>
          <w:rFonts w:eastAsia="Times New Roman" w:cs="Times New Roman"/>
          <w:b/>
          <w:sz w:val="22"/>
          <w:szCs w:val="22"/>
          <w:lang w:val="en"/>
        </w:rPr>
      </w:pPr>
      <w:r w:rsidRPr="001C72A7">
        <w:rPr>
          <w:rFonts w:eastAsia="Times New Roman" w:cs="Times New Roman"/>
          <w:b/>
          <w:sz w:val="22"/>
          <w:szCs w:val="22"/>
          <w:lang w:val="en"/>
        </w:rPr>
        <w:t xml:space="preserve">Introduction </w:t>
      </w:r>
    </w:p>
    <w:p w:rsidR="001C72A7" w:rsidRPr="001C72A7" w:rsidRDefault="001C72A7" w:rsidP="001C72A7">
      <w:pPr>
        <w:pBdr>
          <w:top w:val="nil"/>
          <w:left w:val="nil"/>
          <w:bottom w:val="none" w:sz="0" w:space="1" w:color="000000"/>
          <w:right w:val="nil"/>
          <w:between w:val="nil"/>
        </w:pBdr>
        <w:spacing w:before="160" w:line="360" w:lineRule="auto"/>
        <w:ind w:right="160"/>
        <w:rPr>
          <w:rFonts w:eastAsia="Times New Roman" w:cs="Times New Roman"/>
          <w:sz w:val="22"/>
          <w:szCs w:val="22"/>
          <w:highlight w:val="white"/>
          <w:lang w:val="en"/>
        </w:rPr>
      </w:pPr>
      <w:r w:rsidRPr="001C72A7">
        <w:rPr>
          <w:rFonts w:eastAsia="Times New Roman" w:cs="Times New Roman"/>
          <w:sz w:val="22"/>
          <w:szCs w:val="22"/>
          <w:highlight w:val="white"/>
          <w:lang w:val="en"/>
        </w:rPr>
        <w:t xml:space="preserve">Implemented in 2015, the United Nations Sustainable Development Goals (SDGs) articulate a global agenda to end poverty and enhance welfare and human dignity </w:t>
      </w:r>
      <w:r w:rsidRPr="001C72A7">
        <w:rPr>
          <w:rFonts w:eastAsia="Times New Roman" w:cs="Times New Roman"/>
          <w:sz w:val="22"/>
          <w:szCs w:val="22"/>
          <w:highlight w:val="white"/>
          <w:lang w:val="en"/>
        </w:rPr>
        <w:fldChar w:fldCharType="begin" w:fldLock="1"/>
      </w:r>
      <w:r w:rsidRPr="001C72A7">
        <w:rPr>
          <w:rFonts w:eastAsia="Times New Roman" w:cs="Times New Roman"/>
          <w:sz w:val="22"/>
          <w:szCs w:val="22"/>
          <w:highlight w:val="white"/>
          <w:lang w:val="en"/>
        </w:rPr>
        <w:instrText>ADDIN CSL_CITATION {"citationItems":[{"id":"ITEM-1","itemData":{"author":[{"dropping-particle":"","family":"UN General Assembly","given":"","non-dropping-particle":"","parse-names":false,"suffix":""}],"id":"ITEM-1","issue":"October","issued":{"date-parts":[["2015"]]},"page":"1-35","title":"Transforming our world: the 2030 Agenda for Sustainable Development","type":"legislation","volume":"16301"},"uris":["http://www.mendeley.com/documents/?uuid=1f399a37-5659-4fa5-ad62-95be6c8b5e91"]}],"mendeley":{"formattedCitation":"(UN General Assembly, 2015)","plainTextFormattedCitation":"(UN General Assembly, 2015)","previouslyFormattedCitation":"(UN General Assembly, 2015)"},"properties":{"noteIndex":0},"schema":"https://github.com/citation-style-language/schema/raw/master/csl-citation.json"}</w:instrText>
      </w:r>
      <w:r w:rsidRPr="001C72A7">
        <w:rPr>
          <w:rFonts w:eastAsia="Times New Roman" w:cs="Times New Roman"/>
          <w:sz w:val="22"/>
          <w:szCs w:val="22"/>
          <w:highlight w:val="white"/>
          <w:lang w:val="en"/>
        </w:rPr>
        <w:fldChar w:fldCharType="separate"/>
      </w:r>
      <w:r w:rsidRPr="001C72A7">
        <w:rPr>
          <w:rFonts w:eastAsia="Times New Roman" w:cs="Times New Roman"/>
          <w:noProof/>
          <w:sz w:val="22"/>
          <w:szCs w:val="22"/>
          <w:highlight w:val="white"/>
          <w:lang w:val="en"/>
        </w:rPr>
        <w:t xml:space="preserve">(UN General </w:t>
      </w:r>
      <w:r w:rsidRPr="001C72A7">
        <w:rPr>
          <w:rFonts w:eastAsia="Times New Roman" w:cs="Times New Roman"/>
          <w:noProof/>
          <w:sz w:val="22"/>
          <w:szCs w:val="22"/>
          <w:highlight w:val="white"/>
          <w:lang w:val="en"/>
        </w:rPr>
        <w:lastRenderedPageBreak/>
        <w:t>Assembly, 2015)</w:t>
      </w:r>
      <w:r w:rsidRPr="001C72A7">
        <w:rPr>
          <w:rFonts w:eastAsia="Times New Roman" w:cs="Times New Roman"/>
          <w:sz w:val="22"/>
          <w:szCs w:val="22"/>
          <w:highlight w:val="white"/>
          <w:lang w:val="en"/>
        </w:rPr>
        <w:fldChar w:fldCharType="end"/>
      </w:r>
      <w:r w:rsidRPr="001C72A7">
        <w:rPr>
          <w:rFonts w:eastAsia="Times New Roman" w:cs="Times New Roman"/>
          <w:sz w:val="22"/>
          <w:szCs w:val="22"/>
          <w:highlight w:val="white"/>
          <w:lang w:val="en"/>
        </w:rPr>
        <w:t xml:space="preserve">. The goals succeeded the Millennium Development Goals (MDGs) that ended in 2015 </w:t>
      </w:r>
      <w:r w:rsidRPr="001C72A7">
        <w:rPr>
          <w:rFonts w:eastAsia="Times New Roman" w:cs="Times New Roman"/>
          <w:sz w:val="22"/>
          <w:szCs w:val="22"/>
          <w:highlight w:val="white"/>
          <w:lang w:val="en"/>
        </w:rPr>
        <w:fldChar w:fldCharType="begin" w:fldLock="1"/>
      </w:r>
      <w:r w:rsidRPr="001C72A7">
        <w:rPr>
          <w:rFonts w:eastAsia="Times New Roman" w:cs="Times New Roman"/>
          <w:sz w:val="22"/>
          <w:szCs w:val="22"/>
          <w:highlight w:val="white"/>
          <w:lang w:val="en"/>
        </w:rPr>
        <w:instrText>ADDIN CSL_CITATION {"citationItems":[{"id":"ITEM-1","itemData":{"URL":"https://www.un.org/millenniumgoals/","accessed":{"date-parts":[["2020","5","19"]]},"author":[{"dropping-particle":"","family":"UN","given":"","non-dropping-particle":"","parse-names":false,"suffix":""}],"container-title":"United Nations Millennium Development Goals","id":"ITEM-1","issued":{"date-parts":[["2015"]]},"title":"United Nations Millennium Development Goals","type":"webpage"},"uris":["http://www.mendeley.com/documents/?uuid=195ce732-c7d6-3e9e-84ec-4ff618234bb2"]}],"mendeley":{"formattedCitation":"(UN, 2015)","plainTextFormattedCitation":"(UN, 2015)","previouslyFormattedCitation":"(UN, 2015)"},"properties":{"noteIndex":0},"schema":"https://github.com/citation-style-language/schema/raw/master/csl-citation.json"}</w:instrText>
      </w:r>
      <w:r w:rsidRPr="001C72A7">
        <w:rPr>
          <w:rFonts w:eastAsia="Times New Roman" w:cs="Times New Roman"/>
          <w:sz w:val="22"/>
          <w:szCs w:val="22"/>
          <w:highlight w:val="white"/>
          <w:lang w:val="en"/>
        </w:rPr>
        <w:fldChar w:fldCharType="separate"/>
      </w:r>
      <w:r w:rsidRPr="001C72A7">
        <w:rPr>
          <w:rFonts w:eastAsia="Times New Roman" w:cs="Times New Roman"/>
          <w:noProof/>
          <w:sz w:val="22"/>
          <w:szCs w:val="22"/>
          <w:highlight w:val="white"/>
          <w:lang w:val="en"/>
        </w:rPr>
        <w:t>(UN, 2015)</w:t>
      </w:r>
      <w:r w:rsidRPr="001C72A7">
        <w:rPr>
          <w:rFonts w:eastAsia="Times New Roman" w:cs="Times New Roman"/>
          <w:sz w:val="22"/>
          <w:szCs w:val="22"/>
          <w:highlight w:val="white"/>
          <w:lang w:val="en"/>
        </w:rPr>
        <w:fldChar w:fldCharType="end"/>
      </w:r>
      <w:r w:rsidRPr="001C72A7">
        <w:rPr>
          <w:rFonts w:eastAsia="Times New Roman" w:cs="Times New Roman"/>
          <w:sz w:val="22"/>
          <w:szCs w:val="22"/>
          <w:highlight w:val="white"/>
          <w:lang w:val="en"/>
        </w:rPr>
        <w:t xml:space="preserve"> with the aim of realizing milestones the MDGs agenda was not able to attain and to address the gaps therein. The SDGs provide a framework for countries to respond to urgent and emergent challenges facing the entire world. The SDGs contain 17 goals comprising 169 targets and 232 indicators that lend a more comprehensive framework for addressing global social problems </w:t>
      </w:r>
      <w:r w:rsidRPr="001C72A7">
        <w:rPr>
          <w:rFonts w:eastAsia="Times New Roman" w:cs="Times New Roman"/>
          <w:sz w:val="22"/>
          <w:szCs w:val="22"/>
          <w:highlight w:val="white"/>
          <w:lang w:val="en"/>
        </w:rPr>
        <w:fldChar w:fldCharType="begin" w:fldLock="1"/>
      </w:r>
      <w:r w:rsidRPr="001C72A7">
        <w:rPr>
          <w:rFonts w:eastAsia="Times New Roman" w:cs="Times New Roman"/>
          <w:sz w:val="22"/>
          <w:szCs w:val="22"/>
          <w:highlight w:val="white"/>
          <w:lang w:val="en"/>
        </w:rPr>
        <w:instrText>ADDIN CSL_CITATION {"citationItems":[{"id":"ITEM-1","itemData":{"author":[{"dropping-particle":"","family":"UN General Assembly","given":"","non-dropping-particle":"","parse-names":false,"suffix":""}],"id":"ITEM-1","issue":"October","issued":{"date-parts":[["2015"]]},"page":"1-35","title":"Transforming our world: the 2030 Agenda for Sustainable Development","type":"legislation","volume":"16301"},"uris":["http://www.mendeley.com/documents/?uuid=31779553-ea8e-4bb4-ae4c-04797134a603"]}],"mendeley":{"formattedCitation":"(UN General Assembly, 2015)","plainTextFormattedCitation":"(UN General Assembly, 2015)","previouslyFormattedCitation":"(UN General Assembly, 2015)"},"properties":{"noteIndex":0},"schema":"https://github.com/citation-style-language/schema/raw/master/csl-citation.json"}</w:instrText>
      </w:r>
      <w:r w:rsidRPr="001C72A7">
        <w:rPr>
          <w:rFonts w:eastAsia="Times New Roman" w:cs="Times New Roman"/>
          <w:sz w:val="22"/>
          <w:szCs w:val="22"/>
          <w:highlight w:val="white"/>
          <w:lang w:val="en"/>
        </w:rPr>
        <w:fldChar w:fldCharType="separate"/>
      </w:r>
      <w:r w:rsidRPr="001C72A7">
        <w:rPr>
          <w:rFonts w:eastAsia="Times New Roman" w:cs="Times New Roman"/>
          <w:noProof/>
          <w:sz w:val="22"/>
          <w:szCs w:val="22"/>
          <w:highlight w:val="white"/>
          <w:lang w:val="en"/>
        </w:rPr>
        <w:t>(UN General Assembly, 2015)</w:t>
      </w:r>
      <w:r w:rsidRPr="001C72A7">
        <w:rPr>
          <w:rFonts w:eastAsia="Times New Roman" w:cs="Times New Roman"/>
          <w:sz w:val="22"/>
          <w:szCs w:val="22"/>
          <w:highlight w:val="white"/>
          <w:lang w:val="en"/>
        </w:rPr>
        <w:fldChar w:fldCharType="end"/>
      </w:r>
      <w:r w:rsidRPr="001C72A7">
        <w:rPr>
          <w:rFonts w:eastAsia="Times New Roman" w:cs="Times New Roman"/>
          <w:sz w:val="22"/>
          <w:szCs w:val="22"/>
          <w:highlight w:val="white"/>
          <w:lang w:val="en"/>
        </w:rPr>
        <w:t xml:space="preserve">. The SDGs highlight the integrated and indivisible balance of the three pillars of sustainable development: economic, social, and environmental (see Figure 1). The agenda underscores social work relevant people-centered approaches, human rights, environmental sustainability, equal access to resources, and prosperity sharing. This ambitious global agenda, which is scheduled to run until 2030, presents social actors and world governments with a blueprint and time sensitive targets on which to assess progress on wellbeing. Specifically, the goals demand that all United Nations member states commit resources toward realization of the </w:t>
      </w:r>
      <w:r w:rsidRPr="001C72A7">
        <w:rPr>
          <w:rFonts w:eastAsia="Times New Roman" w:cs="Times New Roman"/>
          <w:sz w:val="22"/>
          <w:szCs w:val="22"/>
          <w:highlight w:val="white"/>
          <w:lang w:val="en"/>
        </w:rPr>
        <w:lastRenderedPageBreak/>
        <w:t xml:space="preserve">targets outlined under each goal. Member states are also required to present quarterly reports on their performance. </w:t>
      </w:r>
    </w:p>
    <w:p w:rsidR="001C72A7" w:rsidRPr="001C72A7" w:rsidRDefault="001C72A7" w:rsidP="001C72A7">
      <w:pPr>
        <w:pBdr>
          <w:top w:val="nil"/>
          <w:left w:val="nil"/>
          <w:bottom w:val="none" w:sz="0" w:space="1" w:color="000000"/>
          <w:right w:val="nil"/>
          <w:between w:val="nil"/>
        </w:pBdr>
        <w:spacing w:before="160" w:line="360" w:lineRule="auto"/>
        <w:ind w:right="160"/>
        <w:rPr>
          <w:rFonts w:eastAsia="Times New Roman" w:cs="Times New Roman"/>
          <w:sz w:val="22"/>
          <w:szCs w:val="22"/>
          <w:highlight w:val="white"/>
          <w:lang w:val="en"/>
        </w:rPr>
      </w:pPr>
      <w:r w:rsidRPr="001C72A7">
        <w:rPr>
          <w:rFonts w:eastAsia="Times New Roman" w:cs="Times New Roman"/>
          <w:sz w:val="22"/>
          <w:szCs w:val="22"/>
          <w:highlight w:val="white"/>
          <w:lang w:val="en"/>
        </w:rPr>
        <w:t xml:space="preserve">Availability of data across a wide range of targets presents an opportunity for social commentators, including the profession of social work to embrace and move this discourse forward. Indeed, the elements highlighted in the SDGs are central and analogous to the tenets of the profession of social work, emphasizing social justice, human dignity, and the centrality of the human-environment relationships </w:t>
      </w:r>
      <w:r w:rsidRPr="001C72A7">
        <w:rPr>
          <w:rFonts w:eastAsia="Times New Roman" w:cs="Times New Roman"/>
          <w:sz w:val="22"/>
          <w:szCs w:val="22"/>
          <w:highlight w:val="white"/>
          <w:lang w:val="en"/>
        </w:rPr>
        <w:fldChar w:fldCharType="begin" w:fldLock="1"/>
      </w:r>
      <w:r w:rsidRPr="001C72A7">
        <w:rPr>
          <w:rFonts w:eastAsia="Times New Roman" w:cs="Times New Roman"/>
          <w:sz w:val="22"/>
          <w:szCs w:val="22"/>
          <w:highlight w:val="white"/>
          <w:lang w:val="en"/>
        </w:rPr>
        <w:instrText>ADDIN CSL_CITATION {"citationItems":[{"id":"ITEM-1","itemData":{"DOI":"10.1017/CBO9781107415324.004","ISBN":"9788578110796","ISSN":"1098-6596","PMID":"25246403","author":[{"dropping-particle":"","family":"Global Agenda for Social Work and Social Development","given":"","non-dropping-particle":"","parse-names":false,"suffix":""}],"container-title":"International Social Work","id":"ITEM-1","issue":"S4","issued":{"date-parts":[["2014"]]},"number-of-pages":"3-16","title":"Global Agenda for Social Work and Social Development 2014: First report","type":"report","volume":"57"},"uris":["http://www.mendeley.com/documents/?uuid=ea13a350-c669-4e36-9f4a-a3dd47498e15"]}],"mendeley":{"formattedCitation":"(Global Agenda for Social Work and Social Development, 2014)","plainTextFormattedCitation":"(Global Agenda for Social Work and Social Development, 2014)","previouslyFormattedCitation":"(Global Agenda for Social Work and Social Development, 2014)"},"properties":{"noteIndex":0},"schema":"https://github.com/citation-style-language/schema/raw/master/csl-citation.json"}</w:instrText>
      </w:r>
      <w:r w:rsidRPr="001C72A7">
        <w:rPr>
          <w:rFonts w:eastAsia="Times New Roman" w:cs="Times New Roman"/>
          <w:sz w:val="22"/>
          <w:szCs w:val="22"/>
          <w:highlight w:val="white"/>
          <w:lang w:val="en"/>
        </w:rPr>
        <w:fldChar w:fldCharType="separate"/>
      </w:r>
      <w:r w:rsidRPr="001C72A7">
        <w:rPr>
          <w:rFonts w:eastAsia="Times New Roman" w:cs="Times New Roman"/>
          <w:noProof/>
          <w:sz w:val="22"/>
          <w:szCs w:val="22"/>
          <w:highlight w:val="white"/>
          <w:lang w:val="en"/>
        </w:rPr>
        <w:t>(Global Agenda for Social Work and Social Development, 2014)</w:t>
      </w:r>
      <w:r w:rsidRPr="001C72A7">
        <w:rPr>
          <w:rFonts w:eastAsia="Times New Roman" w:cs="Times New Roman"/>
          <w:sz w:val="22"/>
          <w:szCs w:val="22"/>
          <w:highlight w:val="white"/>
          <w:lang w:val="en"/>
        </w:rPr>
        <w:fldChar w:fldCharType="end"/>
      </w:r>
      <w:r w:rsidRPr="001C72A7">
        <w:rPr>
          <w:rFonts w:eastAsia="Times New Roman" w:cs="Times New Roman"/>
          <w:sz w:val="22"/>
          <w:szCs w:val="22"/>
          <w:highlight w:val="white"/>
          <w:lang w:val="en"/>
        </w:rPr>
        <w:t xml:space="preserve">.  Moreover, the three global institutions of social work: (i) International Association of Schools of Social Work (IASSW), (ii) International Council on Social Welfare (ICSW), and (iii) International Federation of Social Workers (IFSW), have jointly contributed to the agenda of SDGs </w:t>
      </w:r>
      <w:r w:rsidRPr="001C72A7">
        <w:rPr>
          <w:rFonts w:eastAsia="Times New Roman" w:cs="Times New Roman"/>
          <w:sz w:val="22"/>
          <w:szCs w:val="22"/>
          <w:highlight w:val="white"/>
          <w:lang w:val="en"/>
        </w:rPr>
        <w:fldChar w:fldCharType="begin" w:fldLock="1"/>
      </w:r>
      <w:r w:rsidRPr="001C72A7">
        <w:rPr>
          <w:rFonts w:eastAsia="Times New Roman" w:cs="Times New Roman"/>
          <w:sz w:val="22"/>
          <w:szCs w:val="22"/>
          <w:highlight w:val="white"/>
          <w:lang w:val="en"/>
        </w:rPr>
        <w:instrText>ADDIN CSL_CITATION {"citationItems":[{"id":"ITEM-1","itemData":{"author":[{"dropping-particle":"","family":"IASSW","given":"","non-dropping-particle":"","parse-names":false,"suffix":""}],"container-title":"Global Agenda for Social Work and Social Development IASSW Statement","id":"ITEM-1","issued":{"date-parts":[["2016"]]},"title":"Global Agenda for Social Work and Social Development IASSW Statement Theme 3: Promoting environmental and community sustainability","type":"report"},"uris":["http://www.mendeley.com/documents/?uuid=4706b501-19e4-42b5-a9b0-1b5b4dc8bc51"]},{"id":"ITEM-2","itemData":{"DOI":"10.1007/s41134-016-0007-y","ISSN":"2365-1792","abstract":"The global agenda of Sustainable Development Goals (SDGs) provides Social Workers an opportunity to redefine their role pertaining to people empowerment, socio-economic development, human rights and the environment. This is especially so for Social Workers in Malaysia whose roles have been narrowly defined in the past. The Global Agenda enhances these possibilities for Social Workers as the SDG goals and values have parallels relevance and application with Social Work practice. However, there are challenges too, as Social Work practice addressing both human rights and environmental concerns address structural issues viewed as politically sensitive and therefore might be confrontational in nature. Nonetheless, Social Workers must stand alongside their service users as partners in development and address issues of injustice and inequality courageously and uncompromisingly abiding by Social Work Principles and Values.","author":[{"dropping-particle":"","family":"Jayasooria","given":"Denison","non-dropping-particle":"","parse-names":false,"suffix":""}],"container-title":"Journal of Human Rights and Social Work","id":"ITEM-2","issue":"1","issued":{"date-parts":[["2016"]]},"page":"19-29","title":"Sustainable Development Goals and Social Work: Opportunities and Challenges for Social Work Practice in Malaysia","type":"article-journal","volume":"1"},"uris":["http://www.mendeley.com/documents/?uuid=941894b6-43b4-4468-b90d-ef5d2b1a8d08"]}],"mendeley":{"formattedCitation":"(IASSW, 2016; Jayasooria, 2016)","plainTextFormattedCitation":"(IASSW, 2016; Jayasooria, 2016)","previouslyFormattedCitation":"(IASSW, 2016; Jayasooria, 2016)"},"properties":{"noteIndex":0},"schema":"https://github.com/citation-style-language/schema/raw/master/csl-citation.json"}</w:instrText>
      </w:r>
      <w:r w:rsidRPr="001C72A7">
        <w:rPr>
          <w:rFonts w:eastAsia="Times New Roman" w:cs="Times New Roman"/>
          <w:sz w:val="22"/>
          <w:szCs w:val="22"/>
          <w:highlight w:val="white"/>
          <w:lang w:val="en"/>
        </w:rPr>
        <w:fldChar w:fldCharType="separate"/>
      </w:r>
      <w:r w:rsidRPr="001C72A7">
        <w:rPr>
          <w:rFonts w:eastAsia="Times New Roman" w:cs="Times New Roman"/>
          <w:noProof/>
          <w:sz w:val="22"/>
          <w:szCs w:val="22"/>
          <w:highlight w:val="white"/>
          <w:lang w:val="en"/>
        </w:rPr>
        <w:t>(IASSW, 2016; Jayasooria, 2016)</w:t>
      </w:r>
      <w:r w:rsidRPr="001C72A7">
        <w:rPr>
          <w:rFonts w:eastAsia="Times New Roman" w:cs="Times New Roman"/>
          <w:sz w:val="22"/>
          <w:szCs w:val="22"/>
          <w:highlight w:val="white"/>
          <w:lang w:val="en"/>
        </w:rPr>
        <w:fldChar w:fldCharType="end"/>
      </w:r>
      <w:r w:rsidRPr="001C72A7">
        <w:rPr>
          <w:rFonts w:eastAsia="Times New Roman" w:cs="Times New Roman"/>
          <w:sz w:val="22"/>
          <w:szCs w:val="22"/>
          <w:highlight w:val="white"/>
          <w:lang w:val="en"/>
        </w:rPr>
        <w:t xml:space="preserve">. Social work has an obligation to continue this dialogue, informing policy, scholarship, and practice </w:t>
      </w:r>
      <w:r w:rsidRPr="001C72A7">
        <w:rPr>
          <w:rFonts w:eastAsia="Times New Roman" w:cs="Times New Roman"/>
          <w:sz w:val="22"/>
          <w:szCs w:val="22"/>
          <w:highlight w:val="white"/>
          <w:lang w:val="en"/>
        </w:rPr>
        <w:fldChar w:fldCharType="begin" w:fldLock="1"/>
      </w:r>
      <w:r w:rsidRPr="001C72A7">
        <w:rPr>
          <w:rFonts w:eastAsia="Times New Roman" w:cs="Times New Roman"/>
          <w:sz w:val="22"/>
          <w:szCs w:val="22"/>
          <w:highlight w:val="white"/>
          <w:lang w:val="en"/>
        </w:rPr>
        <w:instrText>ADDIN CSL_CITATION {"citationItems":[{"id":"ITEM-1","itemData":{"DOI":"10.1080/13691457.2016.1168788","ISSN":"14682664","abstract":"The launch of the post-2015 Agenda and its Sustainable Development Goals (SDGs) by the United Nations (UN) initiates a new set of global priorities to replace the Millennium Development Goals (MDGs). Over a three-year process, governments and civil society representatives at the UN planned and negotiated the post-2015 Agenda and a set of SDGs and targets. Unlike the MDGs which focused almost entirely on developing countries, the new agenda is intended to be universal and therefore applicable to Europe and North America. The goals address a wide range of issues including poverty and inequality, health, international trade, climate change and gender, with a strong emphasis on the environment. This article will provide an overview of the post-2015 process and explore the implications of this agenda for social work globally and locally. It will highlight areas of particular interest to the profession, especially prospects for addressing growing global inequality within and between countries, and concerns over the role of human rights protection. The advantages and limitations of linking social work’s global agenda to the new UN priorities will be assessed.","author":[{"dropping-particle":"","family":"Healy","given":"Lynne M.","non-dropping-particle":"","parse-names":false,"suffix":""}],"container-title":"European Journal of Social Work","id":"ITEM-1","issue":"1","issued":{"date-parts":[["2017"]]},"page":"5-16","publisher":"Taylor &amp; Francis","title":"Situating social work within the post-2015 Global Agenda","type":"article-journal","volume":"20"},"uris":["http://www.mendeley.com/documents/?uuid=b8a9d82d-c46b-432b-aef2-e2fed37b5874"]},{"id":"ITEM-2","itemData":{"DOI":"10.1017/CBO9781107415324.004","ISBN":"9788578110796","ISSN":"1098-6596","PMID":"25246403","author":[{"dropping-particle":"","family":"Global Agenda for Social Work and Social Development","given":"","non-dropping-particle":"","parse-names":false,"suffix":""}],"container-title":"International Social Work","id":"ITEM-2","issue":"S4","issued":{"date-parts":[["2014"]]},"number-of-pages":"3-16","title":"Global Agenda for Social Work and Social Development 2014: First report","type":"report","volume":"57"},"uris":["http://www.mendeley.com/documents/?uuid=ea13a350-c669-4e36-9f4a-a3dd47498e15"]}],"mendeley":{"formattedCitation":"(Global Agenda for Social Work and Social Development, 2014; Healy, 2017)","plainTextFormattedCitation":"(Global Agenda for Social Work and Social Development, 2014; Healy, 2017)","previouslyFormattedCitation":"(Global Agenda for Social Work and Social Development, 2014; Healy, 2017)"},"properties":{"noteIndex":0},"schema":"https://github.com/citation-style-language/schema/raw/master/csl-citation.json"}</w:instrText>
      </w:r>
      <w:r w:rsidRPr="001C72A7">
        <w:rPr>
          <w:rFonts w:eastAsia="Times New Roman" w:cs="Times New Roman"/>
          <w:sz w:val="22"/>
          <w:szCs w:val="22"/>
          <w:highlight w:val="white"/>
          <w:lang w:val="en"/>
        </w:rPr>
        <w:fldChar w:fldCharType="separate"/>
      </w:r>
      <w:r w:rsidRPr="001C72A7">
        <w:rPr>
          <w:rFonts w:eastAsia="Times New Roman" w:cs="Times New Roman"/>
          <w:noProof/>
          <w:sz w:val="22"/>
          <w:szCs w:val="22"/>
          <w:highlight w:val="white"/>
          <w:lang w:val="en"/>
        </w:rPr>
        <w:t>(Global Agenda for Social Work and Social Development, 2014; Healy, 2017)</w:t>
      </w:r>
      <w:r w:rsidRPr="001C72A7">
        <w:rPr>
          <w:rFonts w:eastAsia="Times New Roman" w:cs="Times New Roman"/>
          <w:sz w:val="22"/>
          <w:szCs w:val="22"/>
          <w:highlight w:val="white"/>
          <w:lang w:val="en"/>
        </w:rPr>
        <w:fldChar w:fldCharType="end"/>
      </w:r>
      <w:r w:rsidRPr="001C72A7">
        <w:rPr>
          <w:rFonts w:eastAsia="Times New Roman" w:cs="Times New Roman"/>
          <w:sz w:val="22"/>
          <w:szCs w:val="22"/>
          <w:highlight w:val="white"/>
          <w:lang w:val="en"/>
        </w:rPr>
        <w:t xml:space="preserve">. We build upon this effort by benchmarking progress on SDG 2 - Zero Hunger. </w:t>
      </w:r>
    </w:p>
    <w:p w:rsidR="001C72A7" w:rsidRPr="001C72A7" w:rsidRDefault="001C72A7" w:rsidP="001C72A7">
      <w:pPr>
        <w:pBdr>
          <w:top w:val="nil"/>
          <w:left w:val="nil"/>
          <w:bottom w:val="none" w:sz="0" w:space="1" w:color="000000"/>
          <w:right w:val="nil"/>
          <w:between w:val="nil"/>
        </w:pBdr>
        <w:spacing w:before="160" w:line="360" w:lineRule="auto"/>
        <w:ind w:right="160"/>
        <w:rPr>
          <w:rFonts w:eastAsia="Times New Roman" w:cs="Times New Roman"/>
          <w:b/>
          <w:sz w:val="22"/>
          <w:szCs w:val="22"/>
          <w:highlight w:val="white"/>
          <w:lang w:val="en"/>
        </w:rPr>
      </w:pPr>
      <w:r w:rsidRPr="001C72A7">
        <w:rPr>
          <w:rFonts w:eastAsia="Times New Roman" w:cs="Times New Roman"/>
          <w:b/>
          <w:sz w:val="22"/>
          <w:szCs w:val="22"/>
          <w:highlight w:val="white"/>
          <w:lang w:val="en"/>
        </w:rPr>
        <w:t xml:space="preserve">FIGURE 1. The Three Pillars of SDG </w:t>
      </w:r>
      <w:r w:rsidRPr="001C72A7">
        <w:rPr>
          <w:rFonts w:eastAsia="Times New Roman" w:cs="Times New Roman"/>
          <w:b/>
          <w:noProof/>
          <w:sz w:val="22"/>
          <w:szCs w:val="22"/>
          <w:highlight w:val="white"/>
          <w:lang w:val="es-ES" w:eastAsia="es-ES"/>
        </w:rPr>
        <w:drawing>
          <wp:inline distT="114300" distB="114300" distL="114300" distR="114300" wp14:anchorId="5103B6DD" wp14:editId="168B177A">
            <wp:extent cx="3181350" cy="2219325"/>
            <wp:effectExtent l="0" t="0" r="0" b="9525"/>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3219412" cy="2245877"/>
                    </a:xfrm>
                    <a:prstGeom prst="rect">
                      <a:avLst/>
                    </a:prstGeom>
                    <a:ln/>
                  </pic:spPr>
                </pic:pic>
              </a:graphicData>
            </a:graphic>
          </wp:inline>
        </w:drawing>
      </w:r>
    </w:p>
    <w:p w:rsidR="001C72A7" w:rsidRPr="001C72A7" w:rsidRDefault="001C72A7" w:rsidP="001C72A7">
      <w:pPr>
        <w:pBdr>
          <w:top w:val="nil"/>
          <w:left w:val="nil"/>
          <w:bottom w:val="none" w:sz="0" w:space="1" w:color="000000"/>
          <w:right w:val="nil"/>
          <w:between w:val="nil"/>
        </w:pBdr>
        <w:spacing w:before="160" w:line="360" w:lineRule="auto"/>
        <w:ind w:right="160"/>
        <w:rPr>
          <w:rFonts w:eastAsia="Times New Roman" w:cs="Times New Roman"/>
          <w:sz w:val="22"/>
          <w:szCs w:val="22"/>
          <w:highlight w:val="white"/>
          <w:lang w:val="en"/>
        </w:rPr>
      </w:pPr>
      <w:r w:rsidRPr="001C72A7">
        <w:rPr>
          <w:rFonts w:eastAsia="Times New Roman" w:cs="Times New Roman"/>
          <w:sz w:val="22"/>
          <w:szCs w:val="22"/>
          <w:highlight w:val="white"/>
          <w:lang w:val="en"/>
        </w:rPr>
        <w:t xml:space="preserve">Worldwide, hunger continues to be the leading cause of death </w:t>
      </w:r>
      <w:r w:rsidRPr="001C72A7">
        <w:rPr>
          <w:rFonts w:eastAsia="Times New Roman" w:cs="Times New Roman"/>
          <w:sz w:val="22"/>
          <w:szCs w:val="22"/>
          <w:highlight w:val="white"/>
          <w:lang w:val="en"/>
        </w:rPr>
        <w:fldChar w:fldCharType="begin" w:fldLock="1"/>
      </w:r>
      <w:r w:rsidRPr="001C72A7">
        <w:rPr>
          <w:rFonts w:eastAsia="Times New Roman" w:cs="Times New Roman"/>
          <w:sz w:val="22"/>
          <w:szCs w:val="22"/>
          <w:highlight w:val="white"/>
          <w:lang w:val="en"/>
        </w:rPr>
        <w:instrText>ADDIN CSL_CITATION {"citationItems":[{"id":"ITEM-1","itemData":{"DOI":"10.1136/bmj.k2238","ISSN":"17561833","abstract":"Restoration of native vegetation is required in many regions of the world, but determining priority locations for revegetation is a complex problem. We consider the problem of determining spatial and temporal priorities for revegetation to maximize habitat for 62 bird species within a heavily cleared agricultural region, 11000 km2 in area. We show how a reserve-selection framework can be applied to a complex, large-scale restoration-planning problem to account for multi-species objectives and connectivity requirements at a spatial extent and resolution relevant to management. Our approach explicitly accounts for time lags in planting and development of habitat resources, which is intended to avoid future population bottlenecks caused by delayed provision of critical resources, such as tree hollows. We coupled species-specific models of expected habitat quality and fragmentation effects with the dynamics of habitat suitability following replanting to produce species-specific maps for future times. Spatial priorities for restoration were determined by ranking locations (150-m grid cells) by their expected contribution to species habitat through time using the conservation planning tool, \"Zonation.\" We evaluated solutions by calculating expected trajectories of habitat availability for each species. We produced a spatially explicit revegetation schedule for the region that resulted in a balanced increase in habitat for all species. Priority areas for revegetation generally were clustered around existing vegetation, although not always. Areas on richer soils and with high rainfall were more highly ranked, reflecting their potential to support high-quality habitats that have been disproportionately cleared for agriculture. Accounting for delayed development of habitat resources altered the rank-order of locations in the derived revegetation plan and led to improved expected outcomes for fragmentation-sensitive species. This work demonstrates the potential for systematic restoration planning at large scales that accounts for multiple objectives, which is urgently needed by land and natural resource managers.","author":[{"dropping-particle":"","family":"Webb","given":"Patrick","non-dropping-particle":"","parse-names":false,"suffix":""},{"dropping-particle":"","family":"Stordalen","given":"Gunhild Anker","non-dropping-particle":"","parse-names":false,"suffix":""},{"dropping-particle":"","family":"Singh","given":"Sudhvir","non-dropping-particle":"","parse-names":false,"suffix":""},{"dropping-particle":"","family":"Wijesinha-Bettoni","given":"Ramani","non-dropping-particle":"","parse-names":false,"suffix":""},{"dropping-particle":"","family":"Shetty","given":"Prakash","non-dropping-particle":"","parse-names":false,"suffix":""},{"dropping-particle":"","family":"Lartey","given":"Anna","non-dropping-particle":"","parse-names":false,"suffix":""}],"container-title":"BMJ (Online)","id":"ITEM-1","issued":{"date-parts":[["2018"]]},"page":"1-5","title":"Hunger and malnutrition in the 21st century","type":"article-journal","volume":"361"},"uris":["http://www.mendeley.com/documents/?uuid=1ddcca9f-73bd-45a3-b8cc-505b5ea52cf0"]},{"id":"ITEM-2","itemData":{"URL":"https://www.who.int/news-room/detail/11-09-2018-global-hunger-continues-to-rise---new-un-report-says","accessed":{"date-parts":[["2020","4","8"]]},"author":[{"dropping-particle":"","family":"WHO","given":"","non-dropping-particle":"","parse-names":false,"suffix":""}],"container-title":"World Health Organization","id":"ITEM-2","issued":{"date-parts":[["2018"]]},"title":"Global hunger continues to rise, new UN report says","type":"webpage"},"uris":["http://www.mendeley.com/documents/?uuid=ccaf014c-ccef-3c6a-8dd3-9e1964add088"]}],"mendeley":{"formattedCitation":"(Webb &lt;i&gt;et al.&lt;/i&gt;, 2018; WHO, 2018)","plainTextFormattedCitation":"(Webb et al., 2018; WHO, 2018)","previouslyFormattedCitation":"(Webb &lt;i&gt;et al.&lt;/i&gt;, 2018; WHO, 2018)"},"properties":{"noteIndex":0},"schema":"https://github.com/citation-style-language/schema/raw/master/csl-citation.json"}</w:instrText>
      </w:r>
      <w:r w:rsidRPr="001C72A7">
        <w:rPr>
          <w:rFonts w:eastAsia="Times New Roman" w:cs="Times New Roman"/>
          <w:sz w:val="22"/>
          <w:szCs w:val="22"/>
          <w:highlight w:val="white"/>
          <w:lang w:val="en"/>
        </w:rPr>
        <w:fldChar w:fldCharType="separate"/>
      </w:r>
      <w:r w:rsidRPr="001C72A7">
        <w:rPr>
          <w:rFonts w:eastAsia="Times New Roman" w:cs="Times New Roman"/>
          <w:noProof/>
          <w:sz w:val="22"/>
          <w:szCs w:val="22"/>
          <w:highlight w:val="white"/>
          <w:lang w:val="en"/>
        </w:rPr>
        <w:t xml:space="preserve">(Webb </w:t>
      </w:r>
      <w:r w:rsidRPr="001C72A7">
        <w:rPr>
          <w:rFonts w:eastAsia="Times New Roman" w:cs="Times New Roman"/>
          <w:i/>
          <w:noProof/>
          <w:sz w:val="22"/>
          <w:szCs w:val="22"/>
          <w:highlight w:val="white"/>
          <w:lang w:val="en"/>
        </w:rPr>
        <w:t>et al.</w:t>
      </w:r>
      <w:r w:rsidRPr="001C72A7">
        <w:rPr>
          <w:rFonts w:eastAsia="Times New Roman" w:cs="Times New Roman"/>
          <w:noProof/>
          <w:sz w:val="22"/>
          <w:szCs w:val="22"/>
          <w:highlight w:val="white"/>
          <w:lang w:val="en"/>
        </w:rPr>
        <w:t>, 2018; WHO, 2018)</w:t>
      </w:r>
      <w:r w:rsidRPr="001C72A7">
        <w:rPr>
          <w:rFonts w:eastAsia="Times New Roman" w:cs="Times New Roman"/>
          <w:sz w:val="22"/>
          <w:szCs w:val="22"/>
          <w:highlight w:val="white"/>
          <w:lang w:val="en"/>
        </w:rPr>
        <w:fldChar w:fldCharType="end"/>
      </w:r>
      <w:r w:rsidRPr="001C72A7">
        <w:rPr>
          <w:rFonts w:eastAsia="Times New Roman" w:cs="Times New Roman"/>
          <w:sz w:val="22"/>
          <w:szCs w:val="22"/>
          <w:highlight w:val="white"/>
          <w:lang w:val="en"/>
        </w:rPr>
        <w:t xml:space="preserve">. This is especially alarming in the case of children under the age of five. Available data indicates that hunger and poor nutrition causes nearly half (45%) of all mortality in children under five - 3.1 million children each year </w:t>
      </w:r>
      <w:r w:rsidRPr="001C72A7">
        <w:rPr>
          <w:rFonts w:eastAsia="Times New Roman" w:cs="Times New Roman"/>
          <w:sz w:val="22"/>
          <w:szCs w:val="22"/>
          <w:highlight w:val="white"/>
          <w:lang w:val="en"/>
        </w:rPr>
        <w:fldChar w:fldCharType="begin" w:fldLock="1"/>
      </w:r>
      <w:r w:rsidRPr="001C72A7">
        <w:rPr>
          <w:rFonts w:eastAsia="Times New Roman" w:cs="Times New Roman"/>
          <w:sz w:val="22"/>
          <w:szCs w:val="22"/>
          <w:highlight w:val="white"/>
          <w:lang w:val="en"/>
        </w:rPr>
        <w:instrText>ADDIN CSL_CITATION {"citationItems":[{"id":"ITEM-1","itemData":{"URL":"https://www.who.int/news-room/fact-sheets/detail/children-reducing-mortality","accessed":{"date-parts":[["2020","4","8"]]},"author":[{"dropping-particle":"","family":"World Health Organization","given":"","non-dropping-particle":"","parse-names":false,"suffix":""}],"id":"ITEM-1","issued":{"date-parts":[["2019"]]},"title":"Children: reducing mortality","type":"webpage"},"uris":["http://www.mendeley.com/documents/?uuid=3c7a070e-a234-4fed-8fbe-88c50a03a4bc"]}],"mendeley":{"formattedCitation":"(World Health Organization, 2019)","plainTextFormattedCitation":"(World Health Organization, 2019)","previouslyFormattedCitation":"(World Health Organization, 2019)"},"properties":{"noteIndex":0},"schema":"https://github.com/citation-style-language/schema/raw/master/csl-citation.json"}</w:instrText>
      </w:r>
      <w:r w:rsidRPr="001C72A7">
        <w:rPr>
          <w:rFonts w:eastAsia="Times New Roman" w:cs="Times New Roman"/>
          <w:sz w:val="22"/>
          <w:szCs w:val="22"/>
          <w:highlight w:val="white"/>
          <w:lang w:val="en"/>
        </w:rPr>
        <w:fldChar w:fldCharType="separate"/>
      </w:r>
      <w:r w:rsidRPr="001C72A7">
        <w:rPr>
          <w:rFonts w:eastAsia="Times New Roman" w:cs="Times New Roman"/>
          <w:noProof/>
          <w:sz w:val="22"/>
          <w:szCs w:val="22"/>
          <w:highlight w:val="white"/>
          <w:lang w:val="en"/>
        </w:rPr>
        <w:t>(World Health Organization, 2019)</w:t>
      </w:r>
      <w:r w:rsidRPr="001C72A7">
        <w:rPr>
          <w:rFonts w:eastAsia="Times New Roman" w:cs="Times New Roman"/>
          <w:sz w:val="22"/>
          <w:szCs w:val="22"/>
          <w:highlight w:val="white"/>
          <w:lang w:val="en"/>
        </w:rPr>
        <w:fldChar w:fldCharType="end"/>
      </w:r>
      <w:r w:rsidRPr="001C72A7">
        <w:rPr>
          <w:rFonts w:eastAsia="Times New Roman" w:cs="Times New Roman"/>
          <w:sz w:val="22"/>
          <w:szCs w:val="22"/>
          <w:highlight w:val="white"/>
          <w:lang w:val="en"/>
        </w:rPr>
        <w:t>.With the implementation of the SDGs, global momentum and commitment to addressing the problem of food security, child hunger and its correlates has grown. Given this backdrop, our exploration focuses specifically on child hunger and undernutrition, particularly in sub-Saharan Africa.</w:t>
      </w:r>
      <w:r w:rsidRPr="001C72A7">
        <w:rPr>
          <w:rFonts w:eastAsia="Times New Roman" w:cs="Times New Roman"/>
          <w:sz w:val="22"/>
          <w:szCs w:val="22"/>
          <w:lang w:val="en"/>
        </w:rPr>
        <w:t xml:space="preserve"> This focus is premised on the assumption that a</w:t>
      </w:r>
      <w:r w:rsidRPr="001C72A7">
        <w:rPr>
          <w:rFonts w:eastAsia="Times New Roman" w:cs="Times New Roman"/>
          <w:sz w:val="22"/>
          <w:szCs w:val="22"/>
          <w:highlight w:val="white"/>
          <w:lang w:val="en"/>
        </w:rPr>
        <w:t xml:space="preserve">lthough </w:t>
      </w:r>
      <w:r w:rsidRPr="001C72A7">
        <w:rPr>
          <w:rFonts w:eastAsia="Times New Roman" w:cs="Times New Roman"/>
          <w:sz w:val="22"/>
          <w:szCs w:val="22"/>
          <w:lang w:val="en"/>
        </w:rPr>
        <w:t xml:space="preserve">food insecurity is a global challenge affecting approximately 815 million people, sub-Saharan Africa is one of the regions with the highest prevalence of hunger </w:t>
      </w:r>
      <w:r w:rsidRPr="001C72A7">
        <w:rPr>
          <w:rFonts w:eastAsia="Times New Roman" w:cs="Times New Roman"/>
          <w:sz w:val="22"/>
          <w:szCs w:val="22"/>
          <w:lang w:val="en"/>
        </w:rPr>
        <w:fldChar w:fldCharType="begin" w:fldLock="1"/>
      </w:r>
      <w:r w:rsidRPr="001C72A7">
        <w:rPr>
          <w:rFonts w:eastAsia="Times New Roman" w:cs="Times New Roman"/>
          <w:sz w:val="22"/>
          <w:szCs w:val="22"/>
          <w:lang w:val="en"/>
        </w:rPr>
        <w:instrText>ADDIN CSL_CITATION {"citationItems":[{"id":"ITEM-1","itemData":{"DOI":"10.1080/04597238908460834","ISBN":"9789251096291","ISSN":"0459-7230","abstract":"The challenge of building resilience to shocks and stresses The theme of the 2016 edition of the Regional Overview of Food Security and Nutrition in Africa is: “The challenge of building resilience to shocks and stresses”. This 2016 edition of the report introduces a new tool to help enhance our understanding of food security and nutritional status, with the view to inform policy-planning and effective implementation.","author":[{"dropping-particle":"","family":"FAO (Food and Agriculture Organization)","given":"","non-dropping-particle":"","parse-names":false,"suffix":""}],"id":"ITEM-1","issued":{"date-parts":[["2017"]]},"number-of-pages":"52","title":"Africa regional overview of food security and nutrition 2016. The challenges of building resilience to shocks and stresses","type":"book"},"uris":["http://www.mendeley.com/documents/?uuid=b3e95a40-360d-42c7-bbc8-db5787e39da0"]}],"mendeley":{"formattedCitation":"(FAO (Food and Agriculture Organization), 2017)","plainTextFormattedCitation":"(FAO (Food and Agriculture Organization), 2017)","previouslyFormattedCitation":"(FAO (Food and Agriculture Organization), 2017)"},"properties":{"noteIndex":0},"schema":"https://github.com/citation-style-language/schema/raw/master/csl-citation.json"}</w:instrText>
      </w:r>
      <w:r w:rsidRPr="001C72A7">
        <w:rPr>
          <w:rFonts w:eastAsia="Times New Roman" w:cs="Times New Roman"/>
          <w:sz w:val="22"/>
          <w:szCs w:val="22"/>
          <w:lang w:val="en"/>
        </w:rPr>
        <w:fldChar w:fldCharType="separate"/>
      </w:r>
      <w:r w:rsidRPr="001C72A7">
        <w:rPr>
          <w:rFonts w:eastAsia="Times New Roman" w:cs="Times New Roman"/>
          <w:noProof/>
          <w:sz w:val="22"/>
          <w:szCs w:val="22"/>
          <w:lang w:val="en"/>
        </w:rPr>
        <w:t>(FAO (Food and Agriculture Organization), 2017)</w:t>
      </w:r>
      <w:r w:rsidRPr="001C72A7">
        <w:rPr>
          <w:rFonts w:eastAsia="Times New Roman" w:cs="Times New Roman"/>
          <w:sz w:val="22"/>
          <w:szCs w:val="22"/>
          <w:lang w:val="en"/>
        </w:rPr>
        <w:fldChar w:fldCharType="end"/>
      </w:r>
      <w:r w:rsidRPr="001C72A7">
        <w:rPr>
          <w:rFonts w:eastAsia="Times New Roman" w:cs="Times New Roman"/>
          <w:sz w:val="22"/>
          <w:szCs w:val="22"/>
          <w:lang w:val="en"/>
        </w:rPr>
        <w:t xml:space="preserve">. </w:t>
      </w:r>
      <w:r w:rsidRPr="001C72A7">
        <w:rPr>
          <w:rFonts w:eastAsia="Times New Roman" w:cs="Times New Roman"/>
          <w:sz w:val="22"/>
          <w:szCs w:val="22"/>
          <w:highlight w:val="white"/>
          <w:lang w:val="en"/>
        </w:rPr>
        <w:t xml:space="preserve">These regions face the triple burden of malnutrition, undernutrition, and stunting in children under the age of five </w:t>
      </w:r>
      <w:r w:rsidRPr="001C72A7">
        <w:rPr>
          <w:rFonts w:eastAsia="Times New Roman" w:cs="Times New Roman"/>
          <w:sz w:val="22"/>
          <w:szCs w:val="22"/>
          <w:highlight w:val="white"/>
          <w:lang w:val="en"/>
        </w:rPr>
        <w:fldChar w:fldCharType="begin" w:fldLock="1"/>
      </w:r>
      <w:r w:rsidRPr="001C72A7">
        <w:rPr>
          <w:rFonts w:eastAsia="Times New Roman" w:cs="Times New Roman"/>
          <w:sz w:val="22"/>
          <w:szCs w:val="22"/>
          <w:highlight w:val="white"/>
          <w:lang w:val="en"/>
        </w:rPr>
        <w:instrText>ADDIN CSL_CITATION {"citationItems":[{"id":"ITEM-1","itemData":{"abstract":"Extreme climate events – mainly drought – were also major triggers of food crises in 23 countries with over 39 million food-insecure people in need of urgent assistance in 2017.","author":[{"dropping-particle":"","family":"FSIN","given":"","non-dropping-particle":"","parse-names":false,"suffix":""}],"container-title":"Food Security Information Network","id":"ITEM-1","issued":{"date-parts":[["2018"]]},"page":"202","title":"Global Report on Food Crisis 2018","type":"article-journal"},"uris":["http://www.mendeley.com/documents/?uuid=daab04a1-7b78-45b7-a815-d227b7e94ef1"]},{"id":"ITEM-2","itemData":{"URL":"https://www.who.int/emergencies/response-plans/2017/sudan/en/","accessed":{"date-parts":[["2020","11","4"]]},"author":[{"dropping-particle":"","family":"WHO","given":"","non-dropping-particle":"","parse-names":false,"suffix":""}],"container-title":"World Health Organization","id":"ITEM-2","issued":{"date-parts":[["2017"]]},"title":"Sudan Humanitarian Response Plan","type":"webpage"},"uris":["http://www.mendeley.com/documents/?uuid=6b841910-2c7f-4c0f-9790-d74ff8a77e59"]},{"id":"ITEM-3","itemData":{"DOI":"10.1080/04597238908460834","ISBN":"9789251096291","ISSN":"0459-7230","abstract":"The challenge of building resilience to shocks and stresses The theme of the 2016 edition of the Regional Overview of Food Security and Nutrition in Africa is: “The challenge of building resilience to shocks and stresses”. This 2016 edition of the report introduces a new tool to help enhance our understanding of food security and nutritional status, with the view to inform policy-planning and effective implementation.","author":[{"dropping-particle":"","family":"FAO (Food and Agriculture Organization)","given":"","non-dropping-particle":"","parse-names":false,"suffix":""}],"id":"ITEM-3","issued":{"date-parts":[["2017"]]},"number-of-pages":"52","title":"Africa regional overview of food security and nutrition 2016. The challenges of building resilience to shocks and stresses","type":"book"},"uris":["http://www.mendeley.com/documents/?uuid=b3e95a40-360d-42c7-bbc8-db5787e39da0"]}],"mendeley":{"formattedCitation":"(FAO (Food and Agriculture Organization), 2017; WHO, 2017; FSIN, 2018)","plainTextFormattedCitation":"(FAO (Food and Agriculture Organization), 2017; WHO, 2017; FSIN, 2018)","previouslyFormattedCitation":"(FAO (Food and Agriculture Organization), 2017; WHO, 2017; FSIN, 2018)"},"properties":{"noteIndex":0},"schema":"https://github.com/citation-style-language/schema/raw/master/csl-citation.json"}</w:instrText>
      </w:r>
      <w:r w:rsidRPr="001C72A7">
        <w:rPr>
          <w:rFonts w:eastAsia="Times New Roman" w:cs="Times New Roman"/>
          <w:sz w:val="22"/>
          <w:szCs w:val="22"/>
          <w:highlight w:val="white"/>
          <w:lang w:val="en"/>
        </w:rPr>
        <w:fldChar w:fldCharType="separate"/>
      </w:r>
      <w:r w:rsidRPr="001C72A7">
        <w:rPr>
          <w:rFonts w:eastAsia="Times New Roman" w:cs="Times New Roman"/>
          <w:noProof/>
          <w:sz w:val="22"/>
          <w:szCs w:val="22"/>
          <w:highlight w:val="white"/>
          <w:lang w:val="en"/>
        </w:rPr>
        <w:t>(FAO (Food and Agriculture Organization), 2017; WHO, 2017; FSIN, 2018)</w:t>
      </w:r>
      <w:r w:rsidRPr="001C72A7">
        <w:rPr>
          <w:rFonts w:eastAsia="Times New Roman" w:cs="Times New Roman"/>
          <w:sz w:val="22"/>
          <w:szCs w:val="22"/>
          <w:highlight w:val="white"/>
          <w:lang w:val="en"/>
        </w:rPr>
        <w:fldChar w:fldCharType="end"/>
      </w:r>
      <w:r w:rsidRPr="001C72A7">
        <w:rPr>
          <w:rFonts w:eastAsia="Times New Roman" w:cs="Times New Roman"/>
          <w:sz w:val="22"/>
          <w:szCs w:val="22"/>
          <w:highlight w:val="white"/>
          <w:lang w:val="en"/>
        </w:rPr>
        <w:t xml:space="preserve">. Early childhood is a critical stage of human development, which affects not only health outcomes, but also psychosocial functioning and overall well-being throughout the life course </w:t>
      </w:r>
      <w:r w:rsidRPr="001C72A7">
        <w:rPr>
          <w:rFonts w:eastAsia="Times New Roman" w:cs="Times New Roman"/>
          <w:sz w:val="22"/>
          <w:szCs w:val="22"/>
          <w:highlight w:val="white"/>
          <w:lang w:val="en"/>
        </w:rPr>
        <w:fldChar w:fldCharType="begin" w:fldLock="1"/>
      </w:r>
      <w:r w:rsidRPr="001C72A7">
        <w:rPr>
          <w:rFonts w:eastAsia="Times New Roman" w:cs="Times New Roman"/>
          <w:sz w:val="22"/>
          <w:szCs w:val="22"/>
          <w:highlight w:val="white"/>
          <w:lang w:val="en"/>
        </w:rPr>
        <w:instrText>ADDIN CSL_CITATION {"citationItems":[{"id":"ITEM-1","itemData":{"DOI":"10.1196/annals.1425.001","ISSN":"17496632","PMID":"17954670","abstract":"Access to food is essential to optimal development and function in children and adults. Food security, food insecurity, and hunger have been defined and a U.S. Food Security Scale was developed and is administered annually by the Census Bureau in its Current Population Survey. The eight child-referenced items now make up a Children's Food Security Scale. This review summarizes the data on household and children's food insecurity and its relationship with children's health and development and with mothers' depressive symptoms. It is demonstrable that food insecurity is a prevalent risk to the growth, health, cognitive, and behavioral potential of America's poor and near-poor children. Infants and toddlers in particular are at risk from food insecurity even at the lowest levels of severity, and the data indicate an \"invisible epidemic\" of a serious condition. Food insecurity is readily measured and rapidly remediable through policy changes, which a country like the United States, unlike many others, is fully capable of implementing. The food and distribution resources exist; the only constraint is political will. © 2008 New York Academy of Sciences.","author":[{"dropping-particle":"","family":"Cook","given":"John T.","non-dropping-particle":"","parse-names":false,"suffix":""},{"dropping-particle":"","family":"Frank","given":"Deborah A.","non-dropping-particle":"","parse-names":false,"suffix":""}],"container-title":"Annals of the New York Academy of Sciences","id":"ITEM-1","issued":{"date-parts":[["2008"]]},"page":"193-209","title":"Food security, poverty, and human development in the United States","type":"article-journal","volume":"1136"},"uris":["http://www.mendeley.com/documents/?uuid=f6bcffcd-a062-46d9-ae23-c93f2de67ec3"]},{"id":"ITEM-2","itemData":{"DOI":"10.1542/peds.2006-0239","ISSN":"00314005","PMID":"16950971","abstract":"OBJECTIVES. We sought to determine if the prevalence of depression and anxiety in mothers and the prevalence of behavior problems in preschool-aged children are more common when mothers report being food insecure. METHODS. A cross-sectional survey of 2870 mothers of 3-year-old children was conducted in 2001-2003 in 18 large US cities. On the basis of the adult food-security scale calculated from the US Household Food Security Survey Module, mothers were categorized into 3 levels: fully food secure, marginally food secure, and food insecure. The 12-month prevalence in mothers of a major depressive episode and generalized anxiety disorder was assessed by the Composite International Diagnostic Interview-Short Form. A child behavior problem in ≥1 of 3 domains (aggressive, anxious/depressed, or inattention/hyperactivity) was based on the Child Behavior Checklist. RESULTS. Seventy-one percent of the respondents were fully food secure, 17% were marginally food secure, and 12% were food insecure. After adjustment for sociodemographic factors plus maternal physical health, alcohol use, drug use, prenatal smoking, and prenatal physical domestic violence, the percentage of mothers with either major depressive episode or generalized anxiety disorder increased with increasing food insecurity: 16.9%, 21.0%, and 30.3% across the 3 levels. Among children, after further adjustment for maternal major depressive episode and generalized anxiety disorder, the percentage with a behavior problem also increased with increasing food insecurity: 22.7%, 31.1%, and 36.7%. CONCLUSIONS. Mental health problems in mothers and children are more common when mothers are food insecure, a stressor that can potentially be addressed by social policy. Copyright © 2006 by the American Academy of Pediatrics.","author":[{"dropping-particle":"","family":"Whitaker","given":"Robert C.","non-dropping-particle":"","parse-names":false,"suffix":""},{"dropping-particle":"","family":"Phillips","given":"Shannon M.","non-dropping-particle":"","parse-names":false,"suffix":""},{"dropping-particle":"","family":"Orzol","given":"Sean M.","non-dropping-particle":"","parse-names":false,"suffix":""}],"container-title":"Pediatrics","id":"ITEM-2","issue":"3","issued":{"date-parts":[["2006"]]},"title":"Food insecurity and the risks of depression and anxiety in mothers and behavior problems in their preschool-aged children","type":"article-journal","volume":"118"},"uris":["http://www.mendeley.com/documents/?uuid=a4621400-5e8d-4c4e-8f63-72d82c10ad8d"]}],"mendeley":{"formattedCitation":"(Whitaker, Phillips and Orzol, 2006; Cook and Frank, 2008)","plainTextFormattedCitation":"(Whitaker, Phillips and Orzol, 2006; Cook and Frank, 2008)","previouslyFormattedCitation":"(Whitaker, Phillips and Orzol, 2006; Cook and Frank, 2008)"},"properties":{"noteIndex":0},"schema":"https://github.com/citation-style-language/schema/raw/master/csl-citation.json"}</w:instrText>
      </w:r>
      <w:r w:rsidRPr="001C72A7">
        <w:rPr>
          <w:rFonts w:eastAsia="Times New Roman" w:cs="Times New Roman"/>
          <w:sz w:val="22"/>
          <w:szCs w:val="22"/>
          <w:highlight w:val="white"/>
          <w:lang w:val="en"/>
        </w:rPr>
        <w:fldChar w:fldCharType="separate"/>
      </w:r>
      <w:r w:rsidRPr="001C72A7">
        <w:rPr>
          <w:rFonts w:eastAsia="Times New Roman" w:cs="Times New Roman"/>
          <w:noProof/>
          <w:sz w:val="22"/>
          <w:szCs w:val="22"/>
          <w:highlight w:val="white"/>
          <w:lang w:val="en"/>
        </w:rPr>
        <w:t>(Whitaker, Phillips and Orzol, 2006; Cook and Frank, 2008)</w:t>
      </w:r>
      <w:r w:rsidRPr="001C72A7">
        <w:rPr>
          <w:rFonts w:eastAsia="Times New Roman" w:cs="Times New Roman"/>
          <w:sz w:val="22"/>
          <w:szCs w:val="22"/>
          <w:highlight w:val="white"/>
          <w:lang w:val="en"/>
        </w:rPr>
        <w:fldChar w:fldCharType="end"/>
      </w:r>
      <w:r w:rsidRPr="001C72A7">
        <w:rPr>
          <w:rFonts w:eastAsia="Times New Roman" w:cs="Times New Roman"/>
          <w:sz w:val="22"/>
          <w:szCs w:val="22"/>
          <w:highlight w:val="white"/>
          <w:lang w:val="en"/>
        </w:rPr>
        <w:t xml:space="preserve">. Child undernutrition also compromises future productivity and life potential </w:t>
      </w:r>
      <w:r w:rsidRPr="001C72A7">
        <w:rPr>
          <w:rFonts w:eastAsia="Times New Roman" w:cs="Times New Roman"/>
          <w:sz w:val="22"/>
          <w:szCs w:val="22"/>
          <w:highlight w:val="white"/>
          <w:lang w:val="en"/>
        </w:rPr>
        <w:fldChar w:fldCharType="begin" w:fldLock="1"/>
      </w:r>
      <w:r w:rsidRPr="001C72A7">
        <w:rPr>
          <w:rFonts w:eastAsia="Times New Roman" w:cs="Times New Roman"/>
          <w:sz w:val="22"/>
          <w:szCs w:val="22"/>
          <w:highlight w:val="white"/>
          <w:lang w:val="en"/>
        </w:rPr>
        <w:instrText>ADDIN CSL_CITATION {"citationItems":[{"id":"ITEM-1","itemData":{"DOI":"10.1007/s00181-014-0867-x","ISSN":"03777332","abstract":"© 2014, Springer-Verlag Berlin Heidelberg. Food security and obesity represent two of the most significant public health issues. However, little is known about how these issues are intertwined. Here, we assess the causal relationship between food security during early childhood and relatively long-run measures of child health. Identifying this causal relationship is complicated due to endogenous selection and misclassification errors. To overcome these difficulties, we utilize a nonparametric bounds approach along with data from the ECLS-K and ECLS-B. In the absence of misclassification, the analysis suggests a positive (unconditional) association, albeit statistically insignificant, between food insecurity and future child obesity. However, in the absence of strong assumptions concerning the selection and misclassification processes, we are unable to rule out the possibility of no long-run causal relationship between food security and child obesity.","author":[{"dropping-particle":"","family":"Millimet","given":"Daniel L.","non-dropping-particle":"","parse-names":false,"suffix":""},{"dropping-particle":"","family":"Roy","given":"Manan","non-dropping-particle":"","parse-names":false,"suffix":""}],"container-title":"Empirical Economics","id":"ITEM-1","issue":"1","issued":{"date-parts":[["2015"]]},"page":"83-141","title":"Partial identification of the long-run causal effect of food security on child health","type":"article-journal","volume":"48"},"uris":["http://www.mendeley.com/documents/?uuid=279b9f4c-32c8-4aa9-a1f8-5130f8cd082b"]},{"id":"ITEM-2","itemData":{"DOI":"10.1093/pch/20.2.89","ISSN":"12057088","abstract":"Food insecurity and hunger are significant problems in Canada, with millions of Canadians experiencing some level of food insecurity. The purpose of the present article is to review what is currently known about the effects of food insecurity and hunger on children. Longitudinal studies in Canada indicate that hunger is related to poor health outcomes, including a higher risk of depression and suicidal ideation in adolescents, and chronic conditions, particularly asthma. In addition, nutrient deficiencies, such as iron deficiency, are known to impair learning and cause decreased productivity in school-age children, and maternal depressive disorders. School-based nutrition programs and innovations, such as subsidized food (apples, cheese, soy nuts, carrots and broccoli), are an essential immediate need, but long-term solutions lie in adequate incomes for families. L’insécurité alimentaire et la faim sont de graves problèmes au Canada, car des millions de Canadiens présentent un certain niveau d’insécurité alimentaire. Le présent article vise à analyser ce que l’on sait des effets de l’insécurité alimentaire et de la faim chez les enfants. D’après des études longitudinales au Canada, la faim est liée à une mauvaise santé, y compris un risque plus élevé de dépression et d’idéation suicidaire à l’adolescence, ainsi que de maladies chroniques, notamment l’asthme. En outre, on sait que les carences nutritionnelles, telles que l’anémie ferriprive, nuisent à l’apprentissage et sont responsables d’une diminution de la productivité chez les enfants d’âge scolaire, ainsi que de troubles dépressifs chez les mères. Les programmes et les innovations en milieu scolaire, comme les denrées subventionnées (pommes, fromage, noix de soja, carottes et brocoli) représentent un besoin immédiat essentiel, mais les solutions à long terme dépendent d’un revenu suffisant pour les familles.","author":[{"dropping-particle":"","family":"Ke","given":"Janice","non-dropping-particle":"","parse-names":false,"suffix":""},{"dropping-particle":"","family":"Ford-Jones","given":"Elizabeth Lee","non-dropping-particle":"","parse-names":false,"suffix":""}],"container-title":"Paediatrics and Child Health (Canada)","id":"ITEM-2","issue":"2","issued":{"date-parts":[["2015"]]},"page":"89-91","title":"Food insecurity and hunger: A review of the effects on children's health and behaviour","type":"article-journal","volume":"20"},"uris":["http://www.mendeley.com/documents/?uuid=76db52b7-6380-45b2-be6e-61ede9e3739d"]}],"mendeley":{"formattedCitation":"(Ke and Ford-Jones, 2015; Millimet and Roy, 2015)","plainTextFormattedCitation":"(Ke and Ford-Jones, 2015; Millimet and Roy, 2015)","previouslyFormattedCitation":"(Ke and Ford-Jones, 2015; Millimet and Roy, 2015)"},"properties":{"noteIndex":0},"schema":"https://github.com/citation-style-language/schema/raw/master/csl-citation.json"}</w:instrText>
      </w:r>
      <w:r w:rsidRPr="001C72A7">
        <w:rPr>
          <w:rFonts w:eastAsia="Times New Roman" w:cs="Times New Roman"/>
          <w:sz w:val="22"/>
          <w:szCs w:val="22"/>
          <w:highlight w:val="white"/>
          <w:lang w:val="en"/>
        </w:rPr>
        <w:fldChar w:fldCharType="separate"/>
      </w:r>
      <w:r w:rsidRPr="001C72A7">
        <w:rPr>
          <w:rFonts w:eastAsia="Times New Roman" w:cs="Times New Roman"/>
          <w:noProof/>
          <w:sz w:val="22"/>
          <w:szCs w:val="22"/>
          <w:highlight w:val="white"/>
          <w:lang w:val="en"/>
        </w:rPr>
        <w:t>(Ke and Ford-Jones, 2015; Millimet and Roy, 2015)</w:t>
      </w:r>
      <w:r w:rsidRPr="001C72A7">
        <w:rPr>
          <w:rFonts w:eastAsia="Times New Roman" w:cs="Times New Roman"/>
          <w:sz w:val="22"/>
          <w:szCs w:val="22"/>
          <w:highlight w:val="white"/>
          <w:lang w:val="en"/>
        </w:rPr>
        <w:fldChar w:fldCharType="end"/>
      </w:r>
      <w:r w:rsidRPr="001C72A7">
        <w:rPr>
          <w:rFonts w:eastAsia="Times New Roman" w:cs="Times New Roman"/>
          <w:sz w:val="22"/>
          <w:szCs w:val="22"/>
          <w:highlight w:val="white"/>
          <w:lang w:val="en"/>
        </w:rPr>
        <w:t xml:space="preserve">. Addressing this phenomenon, a basic human right and key health issue, starts with understanding regional and country performance on Sustainable Development Goal 2 </w:t>
      </w:r>
      <w:r w:rsidRPr="001C72A7">
        <w:rPr>
          <w:rFonts w:eastAsia="Times New Roman" w:cs="Times New Roman"/>
          <w:sz w:val="22"/>
          <w:szCs w:val="22"/>
          <w:highlight w:val="white"/>
          <w:lang w:val="en"/>
        </w:rPr>
        <w:fldChar w:fldCharType="begin" w:fldLock="1"/>
      </w:r>
      <w:r w:rsidRPr="001C72A7">
        <w:rPr>
          <w:rFonts w:eastAsia="Times New Roman" w:cs="Times New Roman"/>
          <w:sz w:val="22"/>
          <w:szCs w:val="22"/>
          <w:highlight w:val="white"/>
          <w:lang w:val="en"/>
        </w:rPr>
        <w:instrText>ADDIN CSL_CITATION {"citationItems":[{"id":"ITEM-1","itemData":{"URL":"https://www.un.org/sustainabledevelopment/hunger/","author":[{"dropping-particle":"","family":"UN","given":"","non-dropping-particle":"","parse-names":false,"suffix":""}],"id":"ITEM-1","issued":{"date-parts":[["2019"]]},"title":"Goal 2: Zero Hunger; Sustainable Development Goals","type":"webpage"},"uris":["http://www.mendeley.com/documents/?uuid=40c3b1c5-5b47-4587-b16a-ef56c9d3e8d4"]}],"mendeley":{"formattedCitation":"(UN, 2019)","plainTextFormattedCitation":"(UN, 2019)","previouslyFormattedCitation":"(UN, 2019)"},"properties":{"noteIndex":0},"schema":"https://github.com/citation-style-language/schema/raw/master/csl-citation.json"}</w:instrText>
      </w:r>
      <w:r w:rsidRPr="001C72A7">
        <w:rPr>
          <w:rFonts w:eastAsia="Times New Roman" w:cs="Times New Roman"/>
          <w:sz w:val="22"/>
          <w:szCs w:val="22"/>
          <w:highlight w:val="white"/>
          <w:lang w:val="en"/>
        </w:rPr>
        <w:fldChar w:fldCharType="separate"/>
      </w:r>
      <w:r w:rsidRPr="001C72A7">
        <w:rPr>
          <w:rFonts w:eastAsia="Times New Roman" w:cs="Times New Roman"/>
          <w:noProof/>
          <w:sz w:val="22"/>
          <w:szCs w:val="22"/>
          <w:highlight w:val="white"/>
          <w:lang w:val="en"/>
        </w:rPr>
        <w:t>(UN, 2019)</w:t>
      </w:r>
      <w:r w:rsidRPr="001C72A7">
        <w:rPr>
          <w:rFonts w:eastAsia="Times New Roman" w:cs="Times New Roman"/>
          <w:sz w:val="22"/>
          <w:szCs w:val="22"/>
          <w:highlight w:val="white"/>
          <w:lang w:val="en"/>
        </w:rPr>
        <w:fldChar w:fldCharType="end"/>
      </w:r>
      <w:r w:rsidRPr="001C72A7">
        <w:rPr>
          <w:rFonts w:eastAsia="Times New Roman" w:cs="Times New Roman"/>
          <w:sz w:val="22"/>
          <w:szCs w:val="22"/>
          <w:highlight w:val="white"/>
          <w:lang w:val="en"/>
        </w:rPr>
        <w:t xml:space="preserve">.  </w:t>
      </w:r>
    </w:p>
    <w:p w:rsidR="001C72A7" w:rsidRPr="001C72A7" w:rsidRDefault="001C72A7" w:rsidP="001C72A7">
      <w:pPr>
        <w:pBdr>
          <w:top w:val="nil"/>
          <w:left w:val="nil"/>
          <w:bottom w:val="none" w:sz="0" w:space="1" w:color="000000"/>
          <w:right w:val="nil"/>
          <w:between w:val="nil"/>
        </w:pBdr>
        <w:spacing w:before="160" w:line="360" w:lineRule="auto"/>
        <w:ind w:right="160"/>
        <w:rPr>
          <w:rFonts w:eastAsia="Times New Roman" w:cs="Times New Roman"/>
          <w:sz w:val="22"/>
          <w:szCs w:val="22"/>
          <w:highlight w:val="white"/>
          <w:lang w:val="en"/>
        </w:rPr>
      </w:pPr>
      <w:r w:rsidRPr="001C72A7">
        <w:rPr>
          <w:rFonts w:eastAsia="Times New Roman" w:cs="Times New Roman"/>
          <w:sz w:val="22"/>
          <w:szCs w:val="22"/>
          <w:lang w:val="en"/>
        </w:rPr>
        <w:t>W</w:t>
      </w:r>
      <w:r w:rsidRPr="001C72A7">
        <w:rPr>
          <w:rFonts w:eastAsia="Times New Roman" w:cs="Times New Roman"/>
          <w:sz w:val="22"/>
          <w:szCs w:val="22"/>
          <w:highlight w:val="white"/>
          <w:lang w:val="en"/>
        </w:rPr>
        <w:t>e provide a comprehensive overview of progress or lack thereof, with respect to four of the nine indicators under SDG2 (Zero Hunger): 2.1.1 Prevalence of undernourishment, 2.2.1 Prevalence of stunting, 2.2.2 Prevalence of malnutrition, and 2.1.2 Prevalence of food insecurity. In particular, we</w:t>
      </w:r>
      <w:r w:rsidRPr="001C72A7">
        <w:rPr>
          <w:rFonts w:eastAsia="Times New Roman" w:cs="Times New Roman"/>
          <w:sz w:val="22"/>
          <w:szCs w:val="22"/>
          <w:lang w:val="en"/>
        </w:rPr>
        <w:t xml:space="preserve"> seek to highlight the extent of food insecurity in SSA, pathways to food insecurity, and benchmark performance on undernourishment, child malnutrition (wasting and overweight) and stunting</w:t>
      </w:r>
      <w:r w:rsidRPr="001C72A7">
        <w:rPr>
          <w:rFonts w:eastAsia="Times New Roman" w:cs="Times New Roman"/>
          <w:sz w:val="22"/>
          <w:szCs w:val="22"/>
          <w:highlight w:val="white"/>
          <w:lang w:val="en"/>
        </w:rPr>
        <w:t xml:space="preserve">. </w:t>
      </w:r>
    </w:p>
    <w:p w:rsidR="001C72A7" w:rsidRPr="001C72A7" w:rsidRDefault="001C72A7" w:rsidP="001C72A7">
      <w:pPr>
        <w:pBdr>
          <w:bottom w:val="none" w:sz="0" w:space="1" w:color="000000"/>
        </w:pBdr>
        <w:spacing w:before="160" w:line="240" w:lineRule="auto"/>
        <w:ind w:right="160"/>
        <w:rPr>
          <w:rFonts w:eastAsia="Times New Roman" w:cs="Times New Roman"/>
          <w:b/>
          <w:sz w:val="22"/>
          <w:szCs w:val="22"/>
          <w:lang w:val="en"/>
        </w:rPr>
      </w:pPr>
      <w:r w:rsidRPr="001C72A7">
        <w:rPr>
          <w:rFonts w:eastAsia="Times New Roman" w:cs="Times New Roman"/>
          <w:b/>
          <w:sz w:val="22"/>
          <w:szCs w:val="22"/>
          <w:lang w:val="en"/>
        </w:rPr>
        <w:t>A Review of the literature</w:t>
      </w:r>
    </w:p>
    <w:p w:rsidR="001C72A7" w:rsidRPr="001C72A7" w:rsidRDefault="001C72A7" w:rsidP="001C72A7">
      <w:pPr>
        <w:pBdr>
          <w:top w:val="nil"/>
          <w:left w:val="nil"/>
          <w:bottom w:val="none" w:sz="0" w:space="1" w:color="000000"/>
          <w:right w:val="nil"/>
          <w:between w:val="nil"/>
        </w:pBdr>
        <w:spacing w:before="160" w:line="360" w:lineRule="auto"/>
        <w:ind w:right="160"/>
        <w:rPr>
          <w:rFonts w:eastAsia="Times New Roman" w:cs="Times New Roman"/>
          <w:i/>
          <w:sz w:val="22"/>
          <w:szCs w:val="22"/>
          <w:highlight w:val="white"/>
          <w:lang w:val="en"/>
        </w:rPr>
      </w:pPr>
      <w:r w:rsidRPr="001C72A7">
        <w:rPr>
          <w:rFonts w:eastAsia="Times New Roman" w:cs="Times New Roman"/>
          <w:i/>
          <w:sz w:val="22"/>
          <w:szCs w:val="22"/>
          <w:highlight w:val="white"/>
          <w:lang w:val="en"/>
        </w:rPr>
        <w:t>Sustainable Development Goal 2</w:t>
      </w:r>
    </w:p>
    <w:p w:rsidR="001C72A7" w:rsidRPr="001C72A7" w:rsidRDefault="001C72A7" w:rsidP="001C72A7">
      <w:pPr>
        <w:pBdr>
          <w:top w:val="nil"/>
          <w:left w:val="nil"/>
          <w:bottom w:val="none" w:sz="0" w:space="1" w:color="000000"/>
          <w:right w:val="nil"/>
          <w:between w:val="nil"/>
        </w:pBdr>
        <w:spacing w:before="160" w:line="360" w:lineRule="auto"/>
        <w:ind w:right="160"/>
        <w:rPr>
          <w:rFonts w:eastAsia="Times New Roman" w:cs="Times New Roman"/>
          <w:sz w:val="22"/>
          <w:szCs w:val="22"/>
          <w:highlight w:val="white"/>
          <w:lang w:val="en"/>
        </w:rPr>
      </w:pPr>
      <w:r w:rsidRPr="001C72A7">
        <w:rPr>
          <w:rFonts w:eastAsia="Times New Roman" w:cs="Times New Roman"/>
          <w:sz w:val="22"/>
          <w:szCs w:val="22"/>
          <w:highlight w:val="white"/>
          <w:lang w:val="en"/>
        </w:rPr>
        <w:t xml:space="preserve">SDG 2 (Zero Hunger) reaffirms the right of people everywhere to adequate safe and nutritious food. The goal is organized under five targets accompanied by nine indicators (see Table 1 below). Under SDG2, world governments are tasked with the mandate to end hunger, achieve food security, and improve nutrition by 2030 </w:t>
      </w:r>
      <w:r w:rsidRPr="001C72A7">
        <w:rPr>
          <w:rFonts w:eastAsia="Times New Roman" w:cs="Times New Roman"/>
          <w:sz w:val="22"/>
          <w:szCs w:val="22"/>
          <w:highlight w:val="white"/>
          <w:lang w:val="en"/>
        </w:rPr>
        <w:fldChar w:fldCharType="begin" w:fldLock="1"/>
      </w:r>
      <w:r w:rsidRPr="001C72A7">
        <w:rPr>
          <w:rFonts w:eastAsia="Times New Roman" w:cs="Times New Roman"/>
          <w:sz w:val="22"/>
          <w:szCs w:val="22"/>
          <w:highlight w:val="white"/>
          <w:lang w:val="en"/>
        </w:rPr>
        <w:instrText>ADDIN CSL_CITATION {"citationItems":[{"id":"ITEM-1","itemData":{"DOI":"10.1016/j.worlddev.2019.02.004","ISSN":"18735991","abstract":"Globally, industrial agriculture threatens critical ecosystem processes on which crop production depends, while 815 million people are undernourished and many more suffer from malnutrition. The second Sustainable Development Goal (SDG 2), Zero Hunger, seeks to simultaneously address global environmental sustainability and food security challenges. We conducted an integrated literature review organized around three disciplinary perspectives central to realizing SDG 2: ecology and agricultural sciences, nutrition and public health, and political economy and policy science. Within each discipline we first draw on a wide range of literature to summarize the state of knowledge on effective pathways to achieve food security while ensuring the sustainability of food systems. We then conduct a comprehensive review of articles in each of these disciplines that discuss SDG 2, using the pathways we outline initially to frame our analysis. In particular, we ask whether the framing of SDG 2 is appropriate given current understandings of transitions to sustainable food systems. By applying a food systems lens, our review identifies several limitations in the way SDG 2 is applied by researchers including a productionist perspective, limited attention to ecological processes on farms, a definition of food security that lacks a food systems perspective, and a lack of attention to historical and structural factors that shape opportunities for equity and food security in different contexts. Finally, we consider possibilities for expanding the research agenda and associated implications for development practice. We argue that the pathway to achieving Zero Hunger should center on place-based, adaptive, participatory solutions that simultaneously attend to local institutional capacities, agroecosystem diversification and ecological management, and the quality of local diets. Two conceptual frameworks – social-ecological systems and sustainable diets – offer systems-based lenses for integrated analysis of agriculture and food security, which could inform the development of effective policies.","author":[{"dropping-particle":"","family":"Blesh","given":"Jennifer","non-dropping-particle":"","parse-names":false,"suffix":""},{"dropping-particle":"","family":"Hoey","given":"Lesli","non-dropping-particle":"","parse-names":false,"suffix":""},{"dropping-particle":"","family":"Jones","given":"Andrew D.","non-dropping-particle":"","parse-names":false,"suffix":""},{"dropping-particle":"","family":"Friedmann","given":"Harriet","non-dropping-particle":"","parse-names":false,"suffix":""},{"dropping-particle":"","family":"Perfecto","given":"Ivette","non-dropping-particle":"","parse-names":false,"suffix":""}],"container-title":"World Development","id":"ITEM-1","issued":{"date-parts":[["2019"]]},"page":"1-14","title":"Development pathways toward “zero hunger”","type":"article-journal","volume":"118"},"uris":["http://www.mendeley.com/documents/?uuid=d46dc0be-231c-46ab-99d3-edc31ea65064"]},{"id":"ITEM-2","itemData":{"URL":"https://www.un.org/sustainabledevelopment/hunger/","author":[{"dropping-particle":"","family":"UN","given":"","non-dropping-particle":"","parse-names":false,"suffix":""}],"id":"ITEM-2","issued":{"date-parts":[["2019"]]},"title":"Goal 2: Zero Hunger; Sustainable Development Goals","type":"webpage"},"uris":["http://www.mendeley.com/documents/?uuid=40c3b1c5-5b47-4587-b16a-ef56c9d3e8d4"]}],"mendeley":{"formattedCitation":"(Blesh &lt;i&gt;et al.&lt;/i&gt;, 2019; UN, 2019)","plainTextFormattedCitation":"(Blesh et al., 2019; UN, 2019)","previouslyFormattedCitation":"(Blesh &lt;i&gt;et al.&lt;/i&gt;, 2019; UN, 2019)"},"properties":{"noteIndex":0},"schema":"https://github.com/citation-style-language/schema/raw/master/csl-citation.json"}</w:instrText>
      </w:r>
      <w:r w:rsidRPr="001C72A7">
        <w:rPr>
          <w:rFonts w:eastAsia="Times New Roman" w:cs="Times New Roman"/>
          <w:sz w:val="22"/>
          <w:szCs w:val="22"/>
          <w:highlight w:val="white"/>
          <w:lang w:val="en"/>
        </w:rPr>
        <w:fldChar w:fldCharType="separate"/>
      </w:r>
      <w:r w:rsidRPr="001C72A7">
        <w:rPr>
          <w:rFonts w:eastAsia="Times New Roman" w:cs="Times New Roman"/>
          <w:noProof/>
          <w:sz w:val="22"/>
          <w:szCs w:val="22"/>
          <w:highlight w:val="white"/>
          <w:lang w:val="en"/>
        </w:rPr>
        <w:t xml:space="preserve">(Blesh </w:t>
      </w:r>
      <w:r w:rsidRPr="001C72A7">
        <w:rPr>
          <w:rFonts w:eastAsia="Times New Roman" w:cs="Times New Roman"/>
          <w:i/>
          <w:noProof/>
          <w:sz w:val="22"/>
          <w:szCs w:val="22"/>
          <w:highlight w:val="white"/>
          <w:lang w:val="en"/>
        </w:rPr>
        <w:t>et al.</w:t>
      </w:r>
      <w:r w:rsidRPr="001C72A7">
        <w:rPr>
          <w:rFonts w:eastAsia="Times New Roman" w:cs="Times New Roman"/>
          <w:noProof/>
          <w:sz w:val="22"/>
          <w:szCs w:val="22"/>
          <w:highlight w:val="white"/>
          <w:lang w:val="en"/>
        </w:rPr>
        <w:t>, 2019; UN, 2019)</w:t>
      </w:r>
      <w:r w:rsidRPr="001C72A7">
        <w:rPr>
          <w:rFonts w:eastAsia="Times New Roman" w:cs="Times New Roman"/>
          <w:sz w:val="22"/>
          <w:szCs w:val="22"/>
          <w:highlight w:val="white"/>
          <w:lang w:val="en"/>
        </w:rPr>
        <w:fldChar w:fldCharType="end"/>
      </w:r>
      <w:r w:rsidRPr="001C72A7">
        <w:rPr>
          <w:rFonts w:eastAsia="Times New Roman" w:cs="Times New Roman"/>
          <w:sz w:val="22"/>
          <w:szCs w:val="22"/>
          <w:highlight w:val="white"/>
          <w:lang w:val="en"/>
        </w:rPr>
        <w:t xml:space="preserve">. This goal further acknowledges the importance of the intersectionality of sustainable agriculture, gender equality, rural poverty alleviation, healthy lifestyles, and climate action with food security and wellbeing. This nexus underscores the right to adequate food and the fundamental right to be free from hunger, as articulated in Article 11 of the International Covenant on Economic Social and Cultural Rights </w:t>
      </w:r>
      <w:r w:rsidRPr="001C72A7">
        <w:rPr>
          <w:rFonts w:eastAsia="Times New Roman" w:cs="Times New Roman"/>
          <w:sz w:val="22"/>
          <w:szCs w:val="22"/>
          <w:highlight w:val="white"/>
          <w:lang w:val="en"/>
        </w:rPr>
        <w:fldChar w:fldCharType="begin" w:fldLock="1"/>
      </w:r>
      <w:r w:rsidRPr="001C72A7">
        <w:rPr>
          <w:rFonts w:eastAsia="Times New Roman" w:cs="Times New Roman"/>
          <w:sz w:val="22"/>
          <w:szCs w:val="22"/>
          <w:highlight w:val="white"/>
          <w:lang w:val="en"/>
        </w:rPr>
        <w:instrText>ADDIN CSL_CITATION {"citationItems":[{"id":"ITEM-1","itemData":{"DOI":"10.1017/CBO9780511575372.009","ISBN":"9780511575372","abstract":"In contrast with the International Covenant on Civil and Political Rights (the ‘ICCPR’) discussed in Chapter 2, its twin, the International Covenant on Economic, Social and Cultural Rights (the ‘ICESCR’ or simply ‘the Covenant’) contains no explicit reference to minorities. This is surprising, given that the concern of the ICESCR with cultural protection would more immediately bring minority protection concerns to mind. In the absence of an explicit reference to minorities, the initial question arises of whether the ICESCR is relevant to minority protection and what kind of protection the ICESCR grants. Persons belonging to minorities and minority groups would appear to be, by their very nature, likely victims of the violations of the rights which the ICESCR enshrines. The importance of the inclusion of the minority concept under the Covenant would further reside in the fact that especially economic and social aspects of minority protection remain the least developed, both conceptually and in practice. Hence, from a human rights perspective, these are the aspects which demand a higher degree of attention and reference points as to their interpretation. From the perspective of cultural protection, aspects of human rights protection which normally feature in international minority protection standards, such as the protection of language and educational rights and of national, ethnic, religious and linguistic identity are sometimes comprised in definitions of culture. However, even the term ‘culture’ is not clear-cut, but has been attributed a variety of meanings.","author":[{"dropping-particle":"","family":"UNOHCHR","given":"","non-dropping-particle":"","parse-names":false,"suffix":""}],"container-title":"International Covenant on Economic, Social and Cultural Rights","id":"ITEM-1","issue":"December 1966","issued":{"date-parts":[["1966"]]},"page":"213-248","title":"The United Nations international covenant on economic, social and cultural rights","type":"legislation"},"uris":["http://www.mendeley.com/documents/?uuid=ec89eabc-6782-4817-b487-264f44549ea9"]}],"mendeley":{"formattedCitation":"(UNOHCHR, 1966)","plainTextFormattedCitation":"(UNOHCHR, 1966)","previouslyFormattedCitation":"(UNOHCHR, 1966)"},"properties":{"noteIndex":0},"schema":"https://github.com/citation-style-language/schema/raw/master/csl-citation.json"}</w:instrText>
      </w:r>
      <w:r w:rsidRPr="001C72A7">
        <w:rPr>
          <w:rFonts w:eastAsia="Times New Roman" w:cs="Times New Roman"/>
          <w:sz w:val="22"/>
          <w:szCs w:val="22"/>
          <w:highlight w:val="white"/>
          <w:lang w:val="en"/>
        </w:rPr>
        <w:fldChar w:fldCharType="separate"/>
      </w:r>
      <w:r w:rsidRPr="001C72A7">
        <w:rPr>
          <w:rFonts w:eastAsia="Times New Roman" w:cs="Times New Roman"/>
          <w:noProof/>
          <w:sz w:val="22"/>
          <w:szCs w:val="22"/>
          <w:highlight w:val="white"/>
          <w:lang w:val="en"/>
        </w:rPr>
        <w:t>(UNOHCHR, 1966)</w:t>
      </w:r>
      <w:r w:rsidRPr="001C72A7">
        <w:rPr>
          <w:rFonts w:eastAsia="Times New Roman" w:cs="Times New Roman"/>
          <w:sz w:val="22"/>
          <w:szCs w:val="22"/>
          <w:highlight w:val="white"/>
          <w:lang w:val="en"/>
        </w:rPr>
        <w:fldChar w:fldCharType="end"/>
      </w:r>
      <w:r w:rsidRPr="001C72A7">
        <w:rPr>
          <w:rFonts w:eastAsia="Times New Roman" w:cs="Times New Roman"/>
          <w:sz w:val="22"/>
          <w:szCs w:val="22"/>
          <w:highlight w:val="white"/>
          <w:lang w:val="en"/>
        </w:rPr>
        <w:t xml:space="preserve">. </w:t>
      </w:r>
    </w:p>
    <w:p w:rsidR="001C72A7" w:rsidRDefault="001C72A7" w:rsidP="001C72A7">
      <w:pPr>
        <w:pBdr>
          <w:top w:val="nil"/>
          <w:left w:val="nil"/>
          <w:bottom w:val="none" w:sz="0" w:space="1" w:color="000000"/>
          <w:right w:val="nil"/>
          <w:between w:val="nil"/>
        </w:pBdr>
        <w:spacing w:before="160" w:line="360" w:lineRule="auto"/>
        <w:ind w:right="160"/>
        <w:rPr>
          <w:rFonts w:eastAsia="Times New Roman" w:cs="Times New Roman"/>
          <w:sz w:val="22"/>
          <w:szCs w:val="22"/>
          <w:highlight w:val="white"/>
          <w:lang w:val="en"/>
        </w:rPr>
      </w:pPr>
      <w:r w:rsidRPr="001C72A7">
        <w:rPr>
          <w:rFonts w:eastAsia="Times New Roman" w:cs="Times New Roman"/>
          <w:sz w:val="22"/>
          <w:szCs w:val="22"/>
          <w:highlight w:val="white"/>
          <w:lang w:val="en"/>
        </w:rPr>
        <w:t xml:space="preserve">Implementation of SDG2 is driven by governments with the support of multiple stakeholders. Monitoring and evaluation of progress occurs through an inclusive process at global, national, and regional levels overseen by the Committee on Food Security (CFS) under the jurisdiction of the Economic and Social Council (ECOSOC).  Nation status on food security is reported at a High-Level Political Forum on Sustainable Development, held annually </w:t>
      </w:r>
      <w:r w:rsidRPr="001C72A7">
        <w:rPr>
          <w:rFonts w:eastAsia="Times New Roman" w:cs="Times New Roman"/>
          <w:sz w:val="22"/>
          <w:szCs w:val="22"/>
          <w:highlight w:val="white"/>
          <w:lang w:val="en"/>
        </w:rPr>
        <w:fldChar w:fldCharType="begin" w:fldLock="1"/>
      </w:r>
      <w:r w:rsidRPr="001C72A7">
        <w:rPr>
          <w:rFonts w:eastAsia="Times New Roman" w:cs="Times New Roman"/>
          <w:sz w:val="22"/>
          <w:szCs w:val="22"/>
          <w:highlight w:val="white"/>
          <w:lang w:val="en"/>
        </w:rPr>
        <w:instrText>ADDIN CSL_CITATION {"citationItems":[{"id":"ITEM-1","itemData":{"URL":"https://sustainabledevelopment.un.org/hlpf","accessed":{"date-parts":[["2020","5","19"]]},"author":[{"dropping-particle":"","family":"HLPF","given":"","non-dropping-particle":"","parse-names":false,"suffix":""}],"container-title":"UNSDG","id":"ITEM-1","issued":{"date-parts":[["2019"]]},"title":"High-level Political Forum .:. Sustainable Development Knowledge Platform","type":"webpage"},"uris":["http://www.mendeley.com/documents/?uuid=a0502920-e78e-36c7-a3d4-fe88fa12794e"]},{"id":"ITEM-2","itemData":{"URL":"https://sustainable-development-goals.iisd.org/country-data","accessed":{"date-parts":[["2020","5","19"]]},"author":[{"dropping-particle":"","family":"IISD","given":"","non-dropping-particle":"","parse-names":false,"suffix":""}],"container-title":"SDG INDICATOR PORTAL","id":"ITEM-2","issued":{"date-parts":[["0"]]},"title":"SDG Indicator Portal","type":"webpage"},"uris":["http://www.mendeley.com/documents/?uuid=74bf358a-1303-38e1-8cc6-5541b38a483b"]}],"mendeley":{"formattedCitation":"(IISD, no date; HLPF, 2019)","plainTextFormattedCitation":"(IISD, no date; HLPF, 2019)","previouslyFormattedCitation":"(IISD, no date; HLPF, 2019)"},"properties":{"noteIndex":0},"schema":"https://github.com/citation-style-language/schema/raw/master/csl-citation.json"}</w:instrText>
      </w:r>
      <w:r w:rsidRPr="001C72A7">
        <w:rPr>
          <w:rFonts w:eastAsia="Times New Roman" w:cs="Times New Roman"/>
          <w:sz w:val="22"/>
          <w:szCs w:val="22"/>
          <w:highlight w:val="white"/>
          <w:lang w:val="en"/>
        </w:rPr>
        <w:fldChar w:fldCharType="separate"/>
      </w:r>
      <w:r w:rsidRPr="001C72A7">
        <w:rPr>
          <w:rFonts w:eastAsia="Times New Roman" w:cs="Times New Roman"/>
          <w:noProof/>
          <w:sz w:val="22"/>
          <w:szCs w:val="22"/>
          <w:highlight w:val="white"/>
          <w:lang w:val="en"/>
        </w:rPr>
        <w:t>(IISD, no date; HLPF, 2019)</w:t>
      </w:r>
      <w:r w:rsidRPr="001C72A7">
        <w:rPr>
          <w:rFonts w:eastAsia="Times New Roman" w:cs="Times New Roman"/>
          <w:sz w:val="22"/>
          <w:szCs w:val="22"/>
          <w:highlight w:val="white"/>
          <w:lang w:val="en"/>
        </w:rPr>
        <w:fldChar w:fldCharType="end"/>
      </w:r>
      <w:r w:rsidRPr="001C72A7">
        <w:rPr>
          <w:rFonts w:eastAsia="Times New Roman" w:cs="Times New Roman"/>
          <w:sz w:val="22"/>
          <w:szCs w:val="22"/>
          <w:highlight w:val="white"/>
          <w:lang w:val="en"/>
        </w:rPr>
        <w:t xml:space="preserve">. Table 1 presents the five targets and nine indicators providing a roadmap and assessment mechanism for SDG2. </w:t>
      </w:r>
    </w:p>
    <w:p w:rsidR="00E15475" w:rsidRDefault="00215F0B" w:rsidP="00E15475">
      <w:pPr>
        <w:pStyle w:val="Indent-Paragraph"/>
        <w:ind w:firstLine="0"/>
        <w:rPr>
          <w:b/>
          <w:lang w:val="en"/>
        </w:rPr>
      </w:pPr>
      <w:r w:rsidRPr="00E15475">
        <w:rPr>
          <w:lang w:val="en"/>
        </w:rPr>
        <w:t>Table</w:t>
      </w:r>
      <w:r w:rsidR="00E15475" w:rsidRPr="00E15475">
        <w:rPr>
          <w:lang w:val="en"/>
        </w:rPr>
        <w:t xml:space="preserve"> One: </w:t>
      </w:r>
      <w:r w:rsidR="00E15475" w:rsidRPr="00E15475">
        <w:rPr>
          <w:b/>
          <w:lang w:val="en"/>
        </w:rPr>
        <w:t>Sustainable Development Goal #II and associated indicators</w:t>
      </w:r>
    </w:p>
    <w:p w:rsidR="009A52A5" w:rsidRPr="00E15475" w:rsidRDefault="009A52A5" w:rsidP="00E15475">
      <w:pPr>
        <w:pStyle w:val="Indent-Paragraph"/>
        <w:ind w:firstLine="0"/>
        <w:rPr>
          <w:b/>
          <w:lang w:val="en"/>
        </w:rPr>
      </w:pPr>
    </w:p>
    <w:tbl>
      <w:tblPr>
        <w:tblStyle w:val="Tablaconcuadrcula"/>
        <w:tblW w:w="4390" w:type="dxa"/>
        <w:tblLook w:val="04A0" w:firstRow="1" w:lastRow="0" w:firstColumn="1" w:lastColumn="0" w:noHBand="0" w:noVBand="1"/>
      </w:tblPr>
      <w:tblGrid>
        <w:gridCol w:w="1980"/>
        <w:gridCol w:w="2410"/>
      </w:tblGrid>
      <w:tr w:rsidR="00E15475" w:rsidRPr="00E15475" w:rsidTr="009A52A5">
        <w:trPr>
          <w:trHeight w:val="528"/>
        </w:trPr>
        <w:tc>
          <w:tcPr>
            <w:tcW w:w="4390" w:type="dxa"/>
            <w:gridSpan w:val="2"/>
          </w:tcPr>
          <w:p w:rsidR="00E15475" w:rsidRPr="00E15475" w:rsidRDefault="00E15475" w:rsidP="00E15475">
            <w:pPr>
              <w:pStyle w:val="Indent-Paragraph"/>
              <w:ind w:firstLine="0"/>
              <w:rPr>
                <w:lang w:val="en"/>
              </w:rPr>
            </w:pPr>
            <w:r w:rsidRPr="00E15475">
              <w:rPr>
                <w:lang w:val="en"/>
              </w:rPr>
              <w:t>Goal 2 Zero Hunger: End hunger, achieve food security and  improved nutrition and promote sustainable agriculture</w:t>
            </w:r>
          </w:p>
        </w:tc>
      </w:tr>
      <w:tr w:rsidR="00E15475" w:rsidRPr="00E15475" w:rsidTr="009A52A5">
        <w:trPr>
          <w:trHeight w:val="256"/>
        </w:trPr>
        <w:tc>
          <w:tcPr>
            <w:tcW w:w="1980" w:type="dxa"/>
          </w:tcPr>
          <w:p w:rsidR="00E15475" w:rsidRPr="00E15475" w:rsidRDefault="00E15475" w:rsidP="00E15475">
            <w:pPr>
              <w:pStyle w:val="Indent-Paragraph"/>
              <w:ind w:firstLine="0"/>
              <w:rPr>
                <w:lang w:val="en"/>
              </w:rPr>
            </w:pPr>
            <w:r w:rsidRPr="00E15475">
              <w:rPr>
                <w:lang w:val="en"/>
              </w:rPr>
              <w:t>Target</w:t>
            </w:r>
          </w:p>
        </w:tc>
        <w:tc>
          <w:tcPr>
            <w:tcW w:w="2410" w:type="dxa"/>
          </w:tcPr>
          <w:p w:rsidR="00E15475" w:rsidRPr="00E15475" w:rsidRDefault="00E15475" w:rsidP="00E15475">
            <w:pPr>
              <w:pStyle w:val="Indent-Paragraph"/>
              <w:ind w:firstLine="0"/>
              <w:rPr>
                <w:lang w:val="en"/>
              </w:rPr>
            </w:pPr>
            <w:r w:rsidRPr="00E15475">
              <w:rPr>
                <w:lang w:val="en"/>
              </w:rPr>
              <w:t>Indicators</w:t>
            </w:r>
          </w:p>
        </w:tc>
      </w:tr>
      <w:tr w:rsidR="00E15475" w:rsidRPr="00E15475" w:rsidTr="009A52A5">
        <w:trPr>
          <w:trHeight w:val="7697"/>
        </w:trPr>
        <w:tc>
          <w:tcPr>
            <w:tcW w:w="1980" w:type="dxa"/>
          </w:tcPr>
          <w:p w:rsidR="00E15475" w:rsidRPr="00E15475" w:rsidRDefault="00E15475" w:rsidP="00E15475">
            <w:pPr>
              <w:pStyle w:val="Indent-Paragraph"/>
              <w:ind w:firstLine="0"/>
              <w:rPr>
                <w:lang w:val="en"/>
              </w:rPr>
            </w:pPr>
            <w:r w:rsidRPr="00E15475">
              <w:rPr>
                <w:lang w:val="en"/>
              </w:rPr>
              <w:t>2:1 By 2030, end hunger</w:t>
            </w:r>
            <w:r w:rsidR="00024275">
              <w:rPr>
                <w:lang w:val="en"/>
              </w:rPr>
              <w:t>.</w:t>
            </w:r>
          </w:p>
          <w:p w:rsidR="00E26B03" w:rsidRDefault="00E26B03" w:rsidP="00E15475">
            <w:pPr>
              <w:pStyle w:val="Indent-Paragraph"/>
              <w:ind w:firstLine="0"/>
              <w:rPr>
                <w:lang w:val="en"/>
              </w:rPr>
            </w:pPr>
          </w:p>
          <w:p w:rsidR="00E26B03" w:rsidRDefault="00E26B03" w:rsidP="00E15475">
            <w:pPr>
              <w:pStyle w:val="Indent-Paragraph"/>
              <w:ind w:firstLine="0"/>
              <w:rPr>
                <w:lang w:val="en"/>
              </w:rPr>
            </w:pPr>
          </w:p>
          <w:p w:rsidR="00E26B03" w:rsidRDefault="00E26B03" w:rsidP="00E15475">
            <w:pPr>
              <w:pStyle w:val="Indent-Paragraph"/>
              <w:ind w:firstLine="0"/>
              <w:rPr>
                <w:lang w:val="en"/>
              </w:rPr>
            </w:pPr>
          </w:p>
          <w:p w:rsidR="00E26B03" w:rsidRDefault="00E26B03" w:rsidP="00E15475">
            <w:pPr>
              <w:pStyle w:val="Indent-Paragraph"/>
              <w:ind w:firstLine="0"/>
              <w:rPr>
                <w:lang w:val="en"/>
              </w:rPr>
            </w:pPr>
          </w:p>
          <w:p w:rsidR="00E26B03" w:rsidRDefault="00E26B03" w:rsidP="00E15475">
            <w:pPr>
              <w:pStyle w:val="Indent-Paragraph"/>
              <w:ind w:firstLine="0"/>
              <w:rPr>
                <w:lang w:val="en"/>
              </w:rPr>
            </w:pPr>
          </w:p>
          <w:p w:rsidR="00E26B03" w:rsidRDefault="00E15475" w:rsidP="00E15475">
            <w:pPr>
              <w:pStyle w:val="Indent-Paragraph"/>
              <w:ind w:firstLine="0"/>
              <w:rPr>
                <w:lang w:val="en"/>
              </w:rPr>
            </w:pPr>
            <w:r>
              <w:rPr>
                <w:lang w:val="en"/>
              </w:rPr>
              <w:t>2:2</w:t>
            </w:r>
            <w:r w:rsidR="00E26B03">
              <w:rPr>
                <w:lang w:val="en"/>
              </w:rPr>
              <w:t xml:space="preserve"> </w:t>
            </w:r>
            <w:r w:rsidR="00E26B03" w:rsidRPr="00E26B03">
              <w:rPr>
                <w:lang w:val="en"/>
              </w:rPr>
              <w:t xml:space="preserve">By 2030, end all </w:t>
            </w:r>
            <w:r w:rsidR="00E26B03">
              <w:rPr>
                <w:lang w:val="en"/>
              </w:rPr>
              <w:t xml:space="preserve"> </w:t>
            </w:r>
          </w:p>
          <w:p w:rsidR="00E15475" w:rsidRDefault="00E26B03" w:rsidP="00E15475">
            <w:pPr>
              <w:pStyle w:val="Indent-Paragraph"/>
              <w:ind w:firstLine="0"/>
              <w:rPr>
                <w:lang w:val="en"/>
              </w:rPr>
            </w:pPr>
            <w:r>
              <w:rPr>
                <w:lang w:val="en"/>
              </w:rPr>
              <w:t xml:space="preserve">       </w:t>
            </w:r>
            <w:r w:rsidRPr="00E26B03">
              <w:rPr>
                <w:lang w:val="en"/>
              </w:rPr>
              <w:t>forms of malnutrition</w:t>
            </w:r>
            <w:r w:rsidR="00024275">
              <w:rPr>
                <w:lang w:val="en"/>
              </w:rPr>
              <w:t>.</w:t>
            </w:r>
          </w:p>
          <w:p w:rsidR="00E26B03" w:rsidRDefault="00E26B03" w:rsidP="00E15475">
            <w:pPr>
              <w:pStyle w:val="Indent-Paragraph"/>
              <w:ind w:firstLine="0"/>
              <w:rPr>
                <w:lang w:val="en"/>
              </w:rPr>
            </w:pPr>
          </w:p>
          <w:p w:rsidR="00E26B03" w:rsidRDefault="00E26B03" w:rsidP="00E15475">
            <w:pPr>
              <w:pStyle w:val="Indent-Paragraph"/>
              <w:ind w:firstLine="0"/>
              <w:rPr>
                <w:lang w:val="en"/>
              </w:rPr>
            </w:pPr>
          </w:p>
          <w:p w:rsidR="00E26B03" w:rsidRDefault="00E15475" w:rsidP="00E15475">
            <w:pPr>
              <w:pStyle w:val="Indent-Paragraph"/>
              <w:ind w:firstLine="0"/>
              <w:rPr>
                <w:lang w:val="en"/>
              </w:rPr>
            </w:pPr>
            <w:r>
              <w:rPr>
                <w:lang w:val="en"/>
              </w:rPr>
              <w:t>2:3</w:t>
            </w:r>
            <w:r w:rsidR="00E26B03">
              <w:rPr>
                <w:lang w:val="en"/>
              </w:rPr>
              <w:t xml:space="preserve"> </w:t>
            </w:r>
            <w:r w:rsidR="00E26B03" w:rsidRPr="00E26B03">
              <w:rPr>
                <w:lang w:val="en"/>
              </w:rPr>
              <w:t xml:space="preserve">By 2030, double the </w:t>
            </w:r>
          </w:p>
          <w:p w:rsidR="00E15475" w:rsidRDefault="00E26B03" w:rsidP="00E15475">
            <w:pPr>
              <w:pStyle w:val="Indent-Paragraph"/>
              <w:ind w:firstLine="0"/>
              <w:rPr>
                <w:lang w:val="en"/>
              </w:rPr>
            </w:pPr>
            <w:r>
              <w:rPr>
                <w:lang w:val="en"/>
              </w:rPr>
              <w:t xml:space="preserve">       </w:t>
            </w:r>
            <w:r w:rsidRPr="00E26B03">
              <w:rPr>
                <w:lang w:val="en"/>
              </w:rPr>
              <w:t xml:space="preserve">agricultural </w:t>
            </w:r>
            <w:r>
              <w:rPr>
                <w:lang w:val="en"/>
              </w:rPr>
              <w:t>p</w:t>
            </w:r>
            <w:r w:rsidRPr="00E26B03">
              <w:rPr>
                <w:lang w:val="en"/>
              </w:rPr>
              <w:t>roductivity</w:t>
            </w:r>
            <w:r w:rsidR="00024275">
              <w:rPr>
                <w:lang w:val="en"/>
              </w:rPr>
              <w:t>.</w:t>
            </w:r>
          </w:p>
          <w:p w:rsidR="00E26B03" w:rsidRDefault="00E26B03" w:rsidP="00E15475">
            <w:pPr>
              <w:pStyle w:val="Indent-Paragraph"/>
              <w:ind w:firstLine="0"/>
              <w:rPr>
                <w:lang w:val="en"/>
              </w:rPr>
            </w:pPr>
          </w:p>
          <w:p w:rsidR="00E26B03" w:rsidRDefault="00E26B03" w:rsidP="00E15475">
            <w:pPr>
              <w:pStyle w:val="Indent-Paragraph"/>
              <w:ind w:firstLine="0"/>
              <w:rPr>
                <w:lang w:val="en"/>
              </w:rPr>
            </w:pPr>
          </w:p>
          <w:p w:rsidR="00E26B03" w:rsidRDefault="00E26B03" w:rsidP="00E15475">
            <w:pPr>
              <w:pStyle w:val="Indent-Paragraph"/>
              <w:ind w:firstLine="0"/>
              <w:rPr>
                <w:lang w:val="en"/>
              </w:rPr>
            </w:pPr>
          </w:p>
          <w:p w:rsidR="00E26B03" w:rsidRDefault="00E26B03" w:rsidP="00E15475">
            <w:pPr>
              <w:pStyle w:val="Indent-Paragraph"/>
              <w:ind w:firstLine="0"/>
              <w:rPr>
                <w:lang w:val="en"/>
              </w:rPr>
            </w:pPr>
          </w:p>
          <w:p w:rsidR="00E26B03" w:rsidRDefault="00E26B03" w:rsidP="00E15475">
            <w:pPr>
              <w:pStyle w:val="Indent-Paragraph"/>
              <w:ind w:firstLine="0"/>
              <w:rPr>
                <w:lang w:val="en"/>
              </w:rPr>
            </w:pPr>
          </w:p>
          <w:p w:rsidR="00E26B03" w:rsidRDefault="00E15475" w:rsidP="00E15475">
            <w:pPr>
              <w:pStyle w:val="Indent-Paragraph"/>
              <w:ind w:firstLine="0"/>
              <w:rPr>
                <w:lang w:val="en"/>
              </w:rPr>
            </w:pPr>
            <w:r>
              <w:rPr>
                <w:lang w:val="en"/>
              </w:rPr>
              <w:t>2:4</w:t>
            </w:r>
            <w:r w:rsidR="00E26B03">
              <w:rPr>
                <w:lang w:val="en"/>
              </w:rPr>
              <w:t xml:space="preserve"> </w:t>
            </w:r>
            <w:r w:rsidR="00E26B03" w:rsidRPr="00E26B03">
              <w:rPr>
                <w:lang w:val="en"/>
              </w:rPr>
              <w:t xml:space="preserve">By 2030, ensure </w:t>
            </w:r>
          </w:p>
          <w:p w:rsidR="00E26B03" w:rsidRDefault="00E26B03" w:rsidP="00E15475">
            <w:pPr>
              <w:pStyle w:val="Indent-Paragraph"/>
              <w:ind w:firstLine="0"/>
              <w:rPr>
                <w:lang w:val="en"/>
              </w:rPr>
            </w:pPr>
            <w:r>
              <w:rPr>
                <w:lang w:val="en"/>
              </w:rPr>
              <w:t xml:space="preserve">       </w:t>
            </w:r>
            <w:r w:rsidRPr="00E26B03">
              <w:rPr>
                <w:lang w:val="en"/>
              </w:rPr>
              <w:t xml:space="preserve">sustainable food </w:t>
            </w:r>
          </w:p>
          <w:p w:rsidR="00E15475" w:rsidRDefault="00E26B03" w:rsidP="00E15475">
            <w:pPr>
              <w:pStyle w:val="Indent-Paragraph"/>
              <w:ind w:firstLine="0"/>
              <w:rPr>
                <w:lang w:val="en"/>
              </w:rPr>
            </w:pPr>
            <w:r>
              <w:rPr>
                <w:lang w:val="en"/>
              </w:rPr>
              <w:t xml:space="preserve">       </w:t>
            </w:r>
            <w:r w:rsidRPr="00E26B03">
              <w:rPr>
                <w:lang w:val="en"/>
              </w:rPr>
              <w:t>production systems</w:t>
            </w:r>
            <w:r w:rsidR="00024275">
              <w:rPr>
                <w:lang w:val="en"/>
              </w:rPr>
              <w:t>.</w:t>
            </w:r>
          </w:p>
          <w:p w:rsidR="00024275" w:rsidRDefault="00024275" w:rsidP="00E15475">
            <w:pPr>
              <w:pStyle w:val="Indent-Paragraph"/>
              <w:ind w:firstLine="0"/>
              <w:rPr>
                <w:lang w:val="en"/>
              </w:rPr>
            </w:pPr>
          </w:p>
          <w:p w:rsidR="00E26B03" w:rsidRDefault="00E15475" w:rsidP="00E15475">
            <w:pPr>
              <w:pStyle w:val="Indent-Paragraph"/>
              <w:ind w:firstLine="0"/>
              <w:rPr>
                <w:lang w:val="en"/>
              </w:rPr>
            </w:pPr>
            <w:r>
              <w:rPr>
                <w:lang w:val="en"/>
              </w:rPr>
              <w:t>2:5</w:t>
            </w:r>
            <w:r w:rsidR="00E26B03">
              <w:rPr>
                <w:lang w:val="en"/>
              </w:rPr>
              <w:t xml:space="preserve"> Enhance agricultural </w:t>
            </w:r>
          </w:p>
          <w:p w:rsidR="00E15475" w:rsidRPr="00E15475" w:rsidRDefault="00E26B03" w:rsidP="00E15475">
            <w:pPr>
              <w:pStyle w:val="Indent-Paragraph"/>
              <w:ind w:firstLine="0"/>
              <w:rPr>
                <w:lang w:val="en"/>
              </w:rPr>
            </w:pPr>
            <w:r>
              <w:rPr>
                <w:lang w:val="en"/>
              </w:rPr>
              <w:t xml:space="preserve">      Diversity by 2030</w:t>
            </w:r>
            <w:r w:rsidR="00024275">
              <w:rPr>
                <w:lang w:val="en"/>
              </w:rPr>
              <w:t>.</w:t>
            </w:r>
          </w:p>
        </w:tc>
        <w:tc>
          <w:tcPr>
            <w:tcW w:w="2410" w:type="dxa"/>
          </w:tcPr>
          <w:p w:rsidR="00E15475" w:rsidRDefault="00E26B03" w:rsidP="00E15475">
            <w:pPr>
              <w:pStyle w:val="Indent-Paragraph"/>
              <w:ind w:firstLine="0"/>
              <w:rPr>
                <w:lang w:val="en"/>
              </w:rPr>
            </w:pPr>
            <w:r w:rsidRPr="00E26B03">
              <w:rPr>
                <w:lang w:val="en"/>
              </w:rPr>
              <w:t xml:space="preserve">2.1.1 Prevalence of </w:t>
            </w:r>
            <w:r>
              <w:rPr>
                <w:lang w:val="en"/>
              </w:rPr>
              <w:t xml:space="preserve">  </w:t>
            </w:r>
            <w:r w:rsidRPr="00E26B03">
              <w:rPr>
                <w:lang w:val="en"/>
              </w:rPr>
              <w:t>Undernourishment</w:t>
            </w:r>
            <w:r w:rsidR="00024275">
              <w:rPr>
                <w:lang w:val="en"/>
              </w:rPr>
              <w:t>.</w:t>
            </w:r>
          </w:p>
          <w:p w:rsidR="00E26B03" w:rsidRDefault="00E26B03" w:rsidP="00E15475">
            <w:pPr>
              <w:pStyle w:val="Indent-Paragraph"/>
              <w:ind w:firstLine="0"/>
              <w:rPr>
                <w:lang w:val="en"/>
              </w:rPr>
            </w:pPr>
            <w:r w:rsidRPr="00E26B03">
              <w:rPr>
                <w:lang w:val="en"/>
              </w:rPr>
              <w:t>2.1.2 Prevalence of moderate or severe fo</w:t>
            </w:r>
            <w:r>
              <w:rPr>
                <w:lang w:val="en"/>
              </w:rPr>
              <w:t>od insecurity in the population.</w:t>
            </w:r>
          </w:p>
          <w:p w:rsidR="00E26B03" w:rsidRPr="00024275" w:rsidRDefault="00E26B03" w:rsidP="00E15475">
            <w:pPr>
              <w:pStyle w:val="Indent-Paragraph"/>
              <w:ind w:firstLine="0"/>
              <w:rPr>
                <w:sz w:val="16"/>
                <w:szCs w:val="16"/>
                <w:lang w:val="en"/>
              </w:rPr>
            </w:pPr>
          </w:p>
          <w:p w:rsidR="00E26B03" w:rsidRDefault="00E26B03" w:rsidP="00E15475">
            <w:pPr>
              <w:pStyle w:val="Indent-Paragraph"/>
              <w:ind w:firstLine="0"/>
              <w:rPr>
                <w:lang w:val="en"/>
              </w:rPr>
            </w:pPr>
            <w:r w:rsidRPr="00E26B03">
              <w:rPr>
                <w:lang w:val="en"/>
              </w:rPr>
              <w:t>2.2.1 Prevalence of stunting</w:t>
            </w:r>
          </w:p>
          <w:p w:rsidR="00E26B03" w:rsidRDefault="00E26B03" w:rsidP="00E15475">
            <w:pPr>
              <w:pStyle w:val="Indent-Paragraph"/>
              <w:ind w:firstLine="0"/>
              <w:rPr>
                <w:lang w:val="en"/>
              </w:rPr>
            </w:pPr>
            <w:r w:rsidRPr="00E26B03">
              <w:rPr>
                <w:lang w:val="en"/>
              </w:rPr>
              <w:t>2.2.2 Prevalence of malnutrition</w:t>
            </w:r>
            <w:r w:rsidR="00024275">
              <w:rPr>
                <w:lang w:val="en"/>
              </w:rPr>
              <w:t>.</w:t>
            </w:r>
          </w:p>
          <w:p w:rsidR="00E26B03" w:rsidRPr="00024275" w:rsidRDefault="00E26B03" w:rsidP="00E15475">
            <w:pPr>
              <w:pStyle w:val="Indent-Paragraph"/>
              <w:ind w:firstLine="0"/>
              <w:rPr>
                <w:sz w:val="16"/>
                <w:szCs w:val="16"/>
                <w:lang w:val="en"/>
              </w:rPr>
            </w:pPr>
          </w:p>
          <w:p w:rsidR="00E26B03" w:rsidRDefault="00E26B03" w:rsidP="00E15475">
            <w:pPr>
              <w:pStyle w:val="Indent-Paragraph"/>
              <w:ind w:firstLine="0"/>
              <w:rPr>
                <w:lang w:val="en"/>
              </w:rPr>
            </w:pPr>
            <w:r w:rsidRPr="00E26B03">
              <w:rPr>
                <w:lang w:val="en"/>
              </w:rPr>
              <w:t>2.3.</w:t>
            </w:r>
            <w:r w:rsidR="00024275">
              <w:rPr>
                <w:lang w:val="en"/>
              </w:rPr>
              <w:t>1 Volume of production per labo</w:t>
            </w:r>
            <w:r w:rsidRPr="00E26B03">
              <w:rPr>
                <w:lang w:val="en"/>
              </w:rPr>
              <w:t>r unit by classes of farming/pastoral/forestry enterprise size</w:t>
            </w:r>
            <w:r>
              <w:rPr>
                <w:lang w:val="en"/>
              </w:rPr>
              <w:t>.</w:t>
            </w:r>
          </w:p>
          <w:p w:rsidR="00E26B03" w:rsidRDefault="00E26B03" w:rsidP="00E15475">
            <w:pPr>
              <w:pStyle w:val="Indent-Paragraph"/>
              <w:ind w:firstLine="0"/>
              <w:rPr>
                <w:lang w:val="en"/>
              </w:rPr>
            </w:pPr>
            <w:r w:rsidRPr="00E26B03">
              <w:rPr>
                <w:lang w:val="en"/>
              </w:rPr>
              <w:t>2.3.2 Average income of small-scale food producers</w:t>
            </w:r>
            <w:r>
              <w:rPr>
                <w:lang w:val="en"/>
              </w:rPr>
              <w:t>.</w:t>
            </w:r>
          </w:p>
          <w:p w:rsidR="00024275" w:rsidRPr="00024275" w:rsidRDefault="00024275" w:rsidP="00E15475">
            <w:pPr>
              <w:pStyle w:val="Indent-Paragraph"/>
              <w:ind w:firstLine="0"/>
              <w:rPr>
                <w:sz w:val="16"/>
                <w:szCs w:val="16"/>
                <w:lang w:val="en"/>
              </w:rPr>
            </w:pPr>
          </w:p>
          <w:p w:rsidR="00024275" w:rsidRDefault="00024275" w:rsidP="00E15475">
            <w:pPr>
              <w:pStyle w:val="Indent-Paragraph"/>
              <w:ind w:firstLine="0"/>
              <w:rPr>
                <w:lang w:val="en"/>
              </w:rPr>
            </w:pPr>
            <w:r w:rsidRPr="00024275">
              <w:rPr>
                <w:lang w:val="en"/>
              </w:rPr>
              <w:t>2.4.1 Proportion of agricultural area under productive and sustainable agriculture</w:t>
            </w:r>
            <w:r>
              <w:rPr>
                <w:lang w:val="en"/>
              </w:rPr>
              <w:t>.</w:t>
            </w:r>
          </w:p>
          <w:p w:rsidR="00024275" w:rsidRPr="00024275" w:rsidRDefault="00024275" w:rsidP="00E15475">
            <w:pPr>
              <w:pStyle w:val="Indent-Paragraph"/>
              <w:ind w:firstLine="0"/>
              <w:rPr>
                <w:sz w:val="16"/>
                <w:szCs w:val="16"/>
                <w:lang w:val="en"/>
              </w:rPr>
            </w:pPr>
          </w:p>
          <w:p w:rsidR="00024275" w:rsidRDefault="00024275" w:rsidP="00E15475">
            <w:pPr>
              <w:pStyle w:val="Indent-Paragraph"/>
              <w:ind w:firstLine="0"/>
              <w:rPr>
                <w:lang w:val="en"/>
              </w:rPr>
            </w:pPr>
            <w:r w:rsidRPr="00024275">
              <w:rPr>
                <w:lang w:val="en"/>
              </w:rPr>
              <w:t>2.5.1 Number of plant and animal genetic resources for food and agriculture secured in either medium- or long-term conservation facilities</w:t>
            </w:r>
            <w:r>
              <w:rPr>
                <w:lang w:val="en"/>
              </w:rPr>
              <w:t>.</w:t>
            </w:r>
          </w:p>
          <w:p w:rsidR="00024275" w:rsidRDefault="00024275" w:rsidP="00E15475">
            <w:pPr>
              <w:pStyle w:val="Indent-Paragraph"/>
              <w:ind w:firstLine="0"/>
              <w:rPr>
                <w:lang w:val="en"/>
              </w:rPr>
            </w:pPr>
            <w:r w:rsidRPr="00024275">
              <w:rPr>
                <w:lang w:val="en"/>
              </w:rPr>
              <w:t>2.5.2 Proportion of local breeds classified as being at risk, not at risk or at unknown level of risk of extinction</w:t>
            </w:r>
            <w:r>
              <w:rPr>
                <w:lang w:val="en"/>
              </w:rPr>
              <w:t>.</w:t>
            </w:r>
          </w:p>
          <w:p w:rsidR="00024275" w:rsidRPr="00E15475" w:rsidRDefault="00024275" w:rsidP="00E15475">
            <w:pPr>
              <w:pStyle w:val="Indent-Paragraph"/>
              <w:ind w:firstLine="0"/>
              <w:rPr>
                <w:lang w:val="en"/>
              </w:rPr>
            </w:pPr>
          </w:p>
        </w:tc>
      </w:tr>
    </w:tbl>
    <w:p w:rsidR="00E15475" w:rsidRPr="00024275" w:rsidRDefault="00024275" w:rsidP="00215F0B">
      <w:pPr>
        <w:pStyle w:val="Indent-Paragraph"/>
        <w:ind w:firstLine="0"/>
        <w:rPr>
          <w:lang w:val="en"/>
        </w:rPr>
      </w:pPr>
      <w:r w:rsidRPr="00024275">
        <w:rPr>
          <w:lang w:val="en"/>
        </w:rPr>
        <w:t xml:space="preserve">Source: </w:t>
      </w:r>
      <w:r w:rsidRPr="00024275">
        <w:rPr>
          <w:lang w:val="en"/>
        </w:rPr>
        <w:fldChar w:fldCharType="begin" w:fldLock="1"/>
      </w:r>
      <w:r w:rsidRPr="00024275">
        <w:rPr>
          <w:lang w:val="en"/>
        </w:rPr>
        <w:instrText>ADDIN CSL_CITATION {"citationItems":[{"id":"ITEM-1","itemData":{"URL":"https://unstats.un.org/sdgs/indicators/regional-groups/","accessed":{"date-parts":[["2020","5","19"]]},"author":[{"dropping-particle":"","family":"UNSDG","given":"","non-dropping-particle":"","parse-names":false,"suffix":""},{"dropping-particle":"","family":"UN","given":"","non-dropping-particle":"","parse-names":false,"suffix":""}],"container-title":"Metadata repository","id":"ITEM-1","issued":{"date-parts":[["2020"]]},"title":"SDG Indicators — SDG Indicators","type":"webpage"},"uris":["http://www.mendeley.com/documents/?uuid=76945e16-3268-41b3-b83e-4da77d9c8fbd"]}],"mendeley":{"formattedCitation":"(UNSDG and UN, 2020)","plainTextFormattedCitation":"(UNSDG and UN, 2020)","previouslyFormattedCitation":"(UNSDG and UN, 2020)"},"properties":{"noteIndex":0},"schema":"https://github.com/citation-style-language/schema/raw/master/csl-citation.json"}</w:instrText>
      </w:r>
      <w:r w:rsidRPr="00024275">
        <w:rPr>
          <w:lang w:val="en"/>
        </w:rPr>
        <w:fldChar w:fldCharType="separate"/>
      </w:r>
      <w:r w:rsidRPr="00024275">
        <w:rPr>
          <w:lang w:val="en"/>
        </w:rPr>
        <w:t>(UNSDG and UN, 2020)</w:t>
      </w:r>
      <w:r w:rsidRPr="00024275">
        <w:rPr>
          <w:lang w:val="en"/>
        </w:rPr>
        <w:fldChar w:fldCharType="end"/>
      </w:r>
    </w:p>
    <w:p w:rsidR="001C72A7" w:rsidRPr="001C72A7" w:rsidRDefault="001C72A7" w:rsidP="001C72A7">
      <w:pPr>
        <w:pBdr>
          <w:bottom w:val="none" w:sz="0" w:space="1" w:color="000000"/>
        </w:pBdr>
        <w:spacing w:before="160" w:line="360" w:lineRule="auto"/>
        <w:ind w:right="160"/>
        <w:rPr>
          <w:rFonts w:eastAsia="Times New Roman" w:cs="Times New Roman"/>
          <w:i/>
          <w:sz w:val="22"/>
          <w:szCs w:val="22"/>
          <w:lang w:val="en"/>
        </w:rPr>
      </w:pPr>
      <w:r w:rsidRPr="001C72A7">
        <w:rPr>
          <w:rFonts w:eastAsia="Times New Roman" w:cs="Times New Roman"/>
          <w:i/>
          <w:sz w:val="22"/>
          <w:szCs w:val="22"/>
          <w:lang w:val="en"/>
        </w:rPr>
        <w:t>The State of Food Security in sub-Saharan Africa: Extent of food security/insecurity</w:t>
      </w:r>
    </w:p>
    <w:p w:rsidR="001C72A7" w:rsidRPr="001C72A7" w:rsidRDefault="001C72A7" w:rsidP="001C72A7">
      <w:pPr>
        <w:pBdr>
          <w:bottom w:val="none" w:sz="0" w:space="1" w:color="000000"/>
        </w:pBdr>
        <w:spacing w:before="160" w:line="360" w:lineRule="auto"/>
        <w:ind w:right="160"/>
        <w:rPr>
          <w:rFonts w:eastAsia="Times New Roman" w:cs="Times New Roman"/>
          <w:sz w:val="22"/>
          <w:szCs w:val="22"/>
          <w:lang w:val="en"/>
        </w:rPr>
      </w:pPr>
      <w:r w:rsidRPr="001C72A7">
        <w:rPr>
          <w:rFonts w:eastAsia="Times New Roman" w:cs="Times New Roman"/>
          <w:sz w:val="22"/>
          <w:szCs w:val="22"/>
          <w:highlight w:val="white"/>
          <w:lang w:val="en"/>
        </w:rPr>
        <w:t xml:space="preserve">Worldwide, advances in agriculture, </w:t>
      </w:r>
      <w:r w:rsidRPr="001C72A7">
        <w:rPr>
          <w:rFonts w:eastAsia="Times New Roman" w:cs="Times New Roman"/>
          <w:sz w:val="22"/>
          <w:szCs w:val="22"/>
          <w:lang w:val="en"/>
        </w:rPr>
        <w:t xml:space="preserve">lower food prices, and increased incomes suggest improved food security in the next decade </w:t>
      </w:r>
      <w:r w:rsidRPr="001C72A7">
        <w:rPr>
          <w:rFonts w:eastAsia="Times New Roman" w:cs="Times New Roman"/>
          <w:sz w:val="22"/>
          <w:szCs w:val="22"/>
          <w:lang w:val="en"/>
        </w:rPr>
        <w:fldChar w:fldCharType="begin" w:fldLock="1"/>
      </w:r>
      <w:r w:rsidRPr="001C72A7">
        <w:rPr>
          <w:rFonts w:eastAsia="Times New Roman" w:cs="Times New Roman"/>
          <w:sz w:val="22"/>
          <w:szCs w:val="22"/>
          <w:lang w:val="en"/>
        </w:rPr>
        <w:instrText>ADDIN CSL_CITATION {"citationItems":[{"id":"ITEM-1","itemData":{"abstract":"Food insecurity in the 76 low- and middle-income countries examined in this report is expected to remain virtually unchanged between 2012 and 2013. By 2023, however, the number of food-insecure people is projected to increase nearly 23% to 868 million, with the share of the population that is food insecure growing from 20.4% to 21.5%. Tables, Figures, References.","author":[{"dropping-particle":"","family":"Thome","given":"Karen","non-dropping-particle":"","parse-names":false,"suffix":""},{"dropping-particle":"","family":"Meade","given":"Birgit","non-dropping-particle":"","parse-names":false,"suffix":""},{"dropping-particle":"","family":"Daugherty","given":"Kamron","non-dropping-particle":"","parse-names":false,"suffix":""},{"dropping-particle":"","family":"Christensen","given":"Cheryl","non-dropping-particle":"","parse-names":false,"suffix":""}],"id":"ITEM-1","issue":"June","issued":{"date-parts":[["2018"]]},"page":"48","title":"International Food Security Assessment, 2018-2028","type":"article-journal"},"uris":["http://www.mendeley.com/documents/?uuid=972b5768-d4ee-4216-8505-e8047c3a737c"]}],"mendeley":{"formattedCitation":"(Thome &lt;i&gt;et al.&lt;/i&gt;, 2018)","plainTextFormattedCitation":"(Thome et al., 2018)","previouslyFormattedCitation":"(Thome &lt;i&gt;et al.&lt;/i&gt;, 2018)"},"properties":{"noteIndex":0},"schema":"https://github.com/citation-style-language/schema/raw/master/csl-citation.json"}</w:instrText>
      </w:r>
      <w:r w:rsidRPr="001C72A7">
        <w:rPr>
          <w:rFonts w:eastAsia="Times New Roman" w:cs="Times New Roman"/>
          <w:sz w:val="22"/>
          <w:szCs w:val="22"/>
          <w:lang w:val="en"/>
        </w:rPr>
        <w:fldChar w:fldCharType="separate"/>
      </w:r>
      <w:r w:rsidRPr="001C72A7">
        <w:rPr>
          <w:rFonts w:eastAsia="Times New Roman" w:cs="Times New Roman"/>
          <w:noProof/>
          <w:sz w:val="22"/>
          <w:szCs w:val="22"/>
          <w:lang w:val="en"/>
        </w:rPr>
        <w:t xml:space="preserve">(Thome </w:t>
      </w:r>
      <w:r w:rsidRPr="001C72A7">
        <w:rPr>
          <w:rFonts w:eastAsia="Times New Roman" w:cs="Times New Roman"/>
          <w:i/>
          <w:noProof/>
          <w:sz w:val="22"/>
          <w:szCs w:val="22"/>
          <w:lang w:val="en"/>
        </w:rPr>
        <w:t>et al.</w:t>
      </w:r>
      <w:r w:rsidRPr="001C72A7">
        <w:rPr>
          <w:rFonts w:eastAsia="Times New Roman" w:cs="Times New Roman"/>
          <w:noProof/>
          <w:sz w:val="22"/>
          <w:szCs w:val="22"/>
          <w:lang w:val="en"/>
        </w:rPr>
        <w:t>, 2018)</w:t>
      </w:r>
      <w:r w:rsidRPr="001C72A7">
        <w:rPr>
          <w:rFonts w:eastAsia="Times New Roman" w:cs="Times New Roman"/>
          <w:sz w:val="22"/>
          <w:szCs w:val="22"/>
          <w:lang w:val="en"/>
        </w:rPr>
        <w:fldChar w:fldCharType="end"/>
      </w:r>
      <w:r w:rsidRPr="001C72A7">
        <w:rPr>
          <w:rFonts w:eastAsia="Times New Roman" w:cs="Times New Roman"/>
          <w:sz w:val="22"/>
          <w:szCs w:val="22"/>
          <w:lang w:val="en"/>
        </w:rPr>
        <w:t>; however, t</w:t>
      </w:r>
      <w:r w:rsidRPr="001C72A7">
        <w:rPr>
          <w:rFonts w:eastAsia="Times New Roman" w:cs="Times New Roman"/>
          <w:sz w:val="22"/>
          <w:szCs w:val="22"/>
          <w:highlight w:val="white"/>
          <w:lang w:val="en"/>
        </w:rPr>
        <w:t>he proportion of hungry and undernourished people has been on the rise with almost 820 million people hungry in 201</w:t>
      </w:r>
      <w:r w:rsidRPr="001C72A7">
        <w:rPr>
          <w:rFonts w:eastAsia="Times New Roman" w:cs="Times New Roman"/>
          <w:sz w:val="22"/>
          <w:szCs w:val="22"/>
          <w:lang w:val="en"/>
        </w:rPr>
        <w:t xml:space="preserve">8 </w:t>
      </w:r>
      <w:r w:rsidRPr="001C72A7">
        <w:rPr>
          <w:rFonts w:eastAsia="Times New Roman" w:cs="Times New Roman"/>
          <w:sz w:val="22"/>
          <w:szCs w:val="22"/>
          <w:lang w:val="en"/>
        </w:rPr>
        <w:fldChar w:fldCharType="begin" w:fldLock="1"/>
      </w:r>
      <w:r w:rsidRPr="001C72A7">
        <w:rPr>
          <w:rFonts w:eastAsia="Times New Roman" w:cs="Times New Roman"/>
          <w:sz w:val="22"/>
          <w:szCs w:val="22"/>
          <w:lang w:val="en"/>
        </w:rPr>
        <w:instrText>ADDIN CSL_CITATION {"citationItems":[{"id":"ITEM-1","itemData":{"ISBN":"9789251315705","author":[{"dropping-particle":"","family":"FAO","given":"","non-dropping-particle":"","parse-names":false,"suffix":""},{"dropping-particle":"","family":"IFAD","given":"","non-dropping-particle":"","parse-names":false,"suffix":""},{"dropping-particle":"","family":"UNICEF","given":"","non-dropping-particle":"","parse-names":false,"suffix":""},{"dropping-particle":"","family":"WFP","given":"","non-dropping-particle":"","parse-names":false,"suffix":""},{"dropping-particle":"","family":"WHO","given":"","non-dropping-particle":"","parse-names":false,"suffix":""}],"id":"ITEM-1","issued":{"date-parts":[["2019"]]},"publisher":"FOOD &amp; AGRICULTURE ORG","publisher-place":"Rome","title":"The state of food security and nutrition in the world 2019: Safeguarding against economic slowdowns and downturns.","type":"report"},"uris":["http://www.mendeley.com/documents/?uuid=6e0a38e7-727d-3a80-9ca3-9dc126c56d8e"]}],"mendeley":{"formattedCitation":"(FAO &lt;i&gt;et al.&lt;/i&gt;, 2019)","plainTextFormattedCitation":"(FAO et al., 2019)","previouslyFormattedCitation":"(FAO &lt;i&gt;et al.&lt;/i&gt;, 2019)"},"properties":{"noteIndex":0},"schema":"https://github.com/citation-style-language/schema/raw/master/csl-citation.json"}</w:instrText>
      </w:r>
      <w:r w:rsidRPr="001C72A7">
        <w:rPr>
          <w:rFonts w:eastAsia="Times New Roman" w:cs="Times New Roman"/>
          <w:sz w:val="22"/>
          <w:szCs w:val="22"/>
          <w:lang w:val="en"/>
        </w:rPr>
        <w:fldChar w:fldCharType="separate"/>
      </w:r>
      <w:r w:rsidRPr="001C72A7">
        <w:rPr>
          <w:rFonts w:eastAsia="Times New Roman" w:cs="Times New Roman"/>
          <w:noProof/>
          <w:sz w:val="22"/>
          <w:szCs w:val="22"/>
          <w:lang w:val="en"/>
        </w:rPr>
        <w:t xml:space="preserve">(FAO </w:t>
      </w:r>
      <w:r w:rsidRPr="001C72A7">
        <w:rPr>
          <w:rFonts w:eastAsia="Times New Roman" w:cs="Times New Roman"/>
          <w:i/>
          <w:noProof/>
          <w:sz w:val="22"/>
          <w:szCs w:val="22"/>
          <w:lang w:val="en"/>
        </w:rPr>
        <w:t>et al.</w:t>
      </w:r>
      <w:r w:rsidRPr="001C72A7">
        <w:rPr>
          <w:rFonts w:eastAsia="Times New Roman" w:cs="Times New Roman"/>
          <w:noProof/>
          <w:sz w:val="22"/>
          <w:szCs w:val="22"/>
          <w:lang w:val="en"/>
        </w:rPr>
        <w:t>, 2019)</w:t>
      </w:r>
      <w:r w:rsidRPr="001C72A7">
        <w:rPr>
          <w:rFonts w:eastAsia="Times New Roman" w:cs="Times New Roman"/>
          <w:sz w:val="22"/>
          <w:szCs w:val="22"/>
          <w:lang w:val="en"/>
        </w:rPr>
        <w:fldChar w:fldCharType="end"/>
      </w:r>
      <w:r w:rsidRPr="001C72A7">
        <w:rPr>
          <w:rFonts w:eastAsia="Times New Roman" w:cs="Times New Roman"/>
          <w:sz w:val="22"/>
          <w:szCs w:val="22"/>
          <w:lang w:val="en"/>
        </w:rPr>
        <w:t xml:space="preserve">. According to the Global Report on Food Crises (2019), the number of food-insecure people needing urgent humanitarian action across the world stands at 113 million and covers 53 countries </w:t>
      </w:r>
      <w:r w:rsidRPr="001C72A7">
        <w:rPr>
          <w:rFonts w:eastAsia="Times New Roman" w:cs="Times New Roman"/>
          <w:sz w:val="22"/>
          <w:szCs w:val="22"/>
          <w:lang w:val="en"/>
        </w:rPr>
        <w:fldChar w:fldCharType="begin" w:fldLock="1"/>
      </w:r>
      <w:r w:rsidRPr="001C72A7">
        <w:rPr>
          <w:rFonts w:eastAsia="Times New Roman" w:cs="Times New Roman"/>
          <w:sz w:val="22"/>
          <w:szCs w:val="22"/>
          <w:lang w:val="en"/>
        </w:rPr>
        <w:instrText>ADDIN CSL_CITATION {"citationItems":[{"id":"ITEM-1","itemData":{"DOI":"ISSN 1728-9246","ISBN":"9788578110796","ISSN":"1098-6596","PMID":"25246403","abstract":"Currently, the world is faced with an unprecedented call for action at a moment in which four countries have been identified as at risk of famine, and demand for humanitarian and resilience assistance is escalating. Against this background, informing the global and national food security community on the risk of food crises and on the severity of such crises is of fundamental importance. In recent years, stakeholders have made major investments to improve food security analysis and related early warning systems in order to prevent and tackle food crises more efficiently. Although significant improvements have been made over time in the methods and technologies used to improve the quality and timeliness of food security assessments and monitoring systems, a comprehensive global pictures of food crises is still often missing. Partial geographical coverage and a lack of comparable data within a standardised system make it difficult to get a full global picture of food crises at any given time. The European Union, WFP and FAO have joined forces to coordinate the compilation of analyses to increase the impact of humanitarian and resilience responses through the preparation of the “Global report on Food Crises”. The Global Report enhances coordination and decision-making through a neutral analysis that informs program planning and implementation. The key objective and strength of the report is to establish a consultative and consensus-based process to compile food insecurity analysis from throughout the world into a global public product to inform annual planning and resource allocation decisions. Technical, operational and financial partners require evidence-based information to ensure appropriate planning and resources to tackle the consequences of food security crises within an evolving humanitarian financing landscape. The World Humanitarian Summit has prompted a major rethink of the way response financing is delivered in crisis settings, highlighting the need for more long-term development investments to address risk, prevent crises and build resilience. Since 2013, the European Commission has worked to develop ways to compare and clarify the results of food security analyses across partners and geographical areas to provide a comprehensive overview of the global food security situation. In 2015, the Joint Research Centre of the European Commission (ECJRC) produced an annual report on food insecurity hotspots to inform decisions on food crisis allocation…","author":[{"dropping-particle":"","family":"FSIN","given":"","non-dropping-particle":"","parse-names":false,"suffix":""}],"container-title":"World Food Programme","id":"ITEM-1","issued":{"date-parts":[["2019"]]},"title":"Global Report on Food Crises 2019","type":"report"},"uris":["http://www.mendeley.com/documents/?uuid=f9be4e4f-6093-43c4-9996-c35cc659ab71"]}],"mendeley":{"formattedCitation":"(FSIN, 2019)","plainTextFormattedCitation":"(FSIN, 2019)","previouslyFormattedCitation":"(FSIN, 2019)"},"properties":{"noteIndex":0},"schema":"https://github.com/citation-style-language/schema/raw/master/csl-citation.json"}</w:instrText>
      </w:r>
      <w:r w:rsidRPr="001C72A7">
        <w:rPr>
          <w:rFonts w:eastAsia="Times New Roman" w:cs="Times New Roman"/>
          <w:sz w:val="22"/>
          <w:szCs w:val="22"/>
          <w:lang w:val="en"/>
        </w:rPr>
        <w:fldChar w:fldCharType="separate"/>
      </w:r>
      <w:r w:rsidRPr="001C72A7">
        <w:rPr>
          <w:rFonts w:eastAsia="Times New Roman" w:cs="Times New Roman"/>
          <w:noProof/>
          <w:sz w:val="22"/>
          <w:szCs w:val="22"/>
          <w:lang w:val="en"/>
        </w:rPr>
        <w:t>(FSIN, 2019)</w:t>
      </w:r>
      <w:r w:rsidRPr="001C72A7">
        <w:rPr>
          <w:rFonts w:eastAsia="Times New Roman" w:cs="Times New Roman"/>
          <w:sz w:val="22"/>
          <w:szCs w:val="22"/>
          <w:lang w:val="en"/>
        </w:rPr>
        <w:fldChar w:fldCharType="end"/>
      </w:r>
      <w:r w:rsidRPr="001C72A7">
        <w:rPr>
          <w:rFonts w:eastAsia="Times New Roman" w:cs="Times New Roman"/>
          <w:sz w:val="22"/>
          <w:szCs w:val="22"/>
          <w:lang w:val="en"/>
        </w:rPr>
        <w:t xml:space="preserve">. The number of women and children in need of nutritional support grew considerably between 2016 and 2018, mainly in areas affected by conflict, insecurity, climate crisis, or economic insecurity </w:t>
      </w:r>
      <w:r w:rsidRPr="001C72A7">
        <w:rPr>
          <w:rFonts w:eastAsia="Times New Roman" w:cs="Times New Roman"/>
          <w:sz w:val="22"/>
          <w:szCs w:val="22"/>
          <w:lang w:val="en"/>
        </w:rPr>
        <w:fldChar w:fldCharType="begin" w:fldLock="1"/>
      </w:r>
      <w:r w:rsidRPr="001C72A7">
        <w:rPr>
          <w:rFonts w:eastAsia="Times New Roman" w:cs="Times New Roman"/>
          <w:sz w:val="22"/>
          <w:szCs w:val="22"/>
          <w:lang w:val="en"/>
        </w:rPr>
        <w:instrText>ADDIN CSL_CITATION {"citationItems":[{"id":"ITEM-1","itemData":{"abstract":"Extreme climate events – mainly drought – were also major triggers of food crises in 23 countries with over 39 million food-insecure people in need of urgent assistance in 2017.","author":[{"dropping-particle":"","family":"FSIN","given":"","non-dropping-particle":"","parse-names":false,"suffix":""}],"container-title":"Food Security Information Network","id":"ITEM-1","issued":{"date-parts":[["2018"]]},"page":"202","title":"Global Report on Food Crisis 2018","type":"article-journal"},"uris":["http://www.mendeley.com/documents/?uuid=daab04a1-7b78-45b7-a815-d227b7e94ef1"]},{"id":"ITEM-2","itemData":{"DOI":"ISSN 1728-9246","ISBN":"9788578110796","ISSN":"1098-6596","PMID":"25246403","abstract":"Currently, the world is faced with an unprecedented call for action at a moment in which four countries have been identified as at risk of famine, and demand for humanitarian and resilience assistance is escalating. Against this background, informing the global and national food security community on the risk of food crises and on the severity of such crises is of fundamental importance. In recent years, stakeholders have made major investments to improve food security analysis and related early warning systems in order to prevent and tackle food crises more efficiently. Although significant improvements have been made over time in the methods and technologies used to improve the quality and timeliness of food security assessments and monitoring systems, a comprehensive global pictures of food crises is still often missing. Partial geographical coverage and a lack of comparable data within a standardised system make it difficult to get a full global picture of food crises at any given time. The European Union, WFP and FAO have joined forces to coordinate the compilation of analyses to increase the impact of humanitarian and resilience responses through the preparation of the “Global report on Food Crises”. The Global Report enhances coordination and decision-making through a neutral analysis that informs program planning and implementation. The key objective and strength of the report is to establish a consultative and consensus-based process to compile food insecurity analysis from throughout the world into a global public product to inform annual planning and resource allocation decisions. Technical, operational and financial partners require evidence-based information to ensure appropriate planning and resources to tackle the consequences of food security crises within an evolving humanitarian financing landscape. The World Humanitarian Summit has prompted a major rethink of the way response financing is delivered in crisis settings, highlighting the need for more long-term development investments to address risk, prevent crises and build resilience. Since 2013, the European Commission has worked to develop ways to compare and clarify the results of food security analyses across partners and geographical areas to provide a comprehensive overview of the global food security situation. In 2015, the Joint Research Centre of the European Commission (ECJRC) produced an annual report on food insecurity hotspots to inform decisions on food crisis allocation…","author":[{"dropping-particle":"","family":"FSIN","given":"","non-dropping-particle":"","parse-names":false,"suffix":""}],"container-title":"World Food Programme","id":"ITEM-2","issued":{"date-parts":[["2019"]]},"title":"Global Report on Food Crises 2019","type":"report"},"uris":["http://www.mendeley.com/documents/?uuid=f9be4e4f-6093-43c4-9996-c35cc659ab71"]}],"mendeley":{"formattedCitation":"(FSIN, 2018, 2019)","plainTextFormattedCitation":"(FSIN, 2018, 2019)","previouslyFormattedCitation":"(FSIN, 2018, 2019)"},"properties":{"noteIndex":0},"schema":"https://github.com/citation-style-language/schema/raw/master/csl-citation.json"}</w:instrText>
      </w:r>
      <w:r w:rsidRPr="001C72A7">
        <w:rPr>
          <w:rFonts w:eastAsia="Times New Roman" w:cs="Times New Roman"/>
          <w:sz w:val="22"/>
          <w:szCs w:val="22"/>
          <w:lang w:val="en"/>
        </w:rPr>
        <w:fldChar w:fldCharType="separate"/>
      </w:r>
      <w:r w:rsidRPr="001C72A7">
        <w:rPr>
          <w:rFonts w:eastAsia="Times New Roman" w:cs="Times New Roman"/>
          <w:noProof/>
          <w:sz w:val="22"/>
          <w:szCs w:val="22"/>
          <w:lang w:val="en"/>
        </w:rPr>
        <w:t>(FSIN, 2018, 2019)</w:t>
      </w:r>
      <w:r w:rsidRPr="001C72A7">
        <w:rPr>
          <w:rFonts w:eastAsia="Times New Roman" w:cs="Times New Roman"/>
          <w:sz w:val="22"/>
          <w:szCs w:val="22"/>
          <w:lang w:val="en"/>
        </w:rPr>
        <w:fldChar w:fldCharType="end"/>
      </w:r>
      <w:r w:rsidRPr="001C72A7">
        <w:rPr>
          <w:rFonts w:eastAsia="Times New Roman" w:cs="Times New Roman"/>
          <w:sz w:val="22"/>
          <w:szCs w:val="22"/>
          <w:lang w:val="en"/>
        </w:rPr>
        <w:t xml:space="preserve">. </w:t>
      </w:r>
    </w:p>
    <w:p w:rsidR="001C72A7" w:rsidRPr="001C72A7" w:rsidRDefault="001C72A7" w:rsidP="001C72A7">
      <w:pPr>
        <w:pBdr>
          <w:bottom w:val="none" w:sz="0" w:space="1" w:color="000000"/>
        </w:pBdr>
        <w:spacing w:before="160" w:line="360" w:lineRule="auto"/>
        <w:ind w:right="160"/>
        <w:rPr>
          <w:rFonts w:eastAsia="Times New Roman" w:cs="Times New Roman"/>
          <w:sz w:val="22"/>
          <w:szCs w:val="22"/>
          <w:highlight w:val="white"/>
          <w:lang w:val="en"/>
        </w:rPr>
      </w:pPr>
      <w:r w:rsidRPr="001C72A7">
        <w:rPr>
          <w:rFonts w:eastAsia="Times New Roman" w:cs="Times New Roman"/>
          <w:sz w:val="22"/>
          <w:szCs w:val="22"/>
          <w:highlight w:val="white"/>
          <w:lang w:val="en"/>
        </w:rPr>
        <w:t xml:space="preserve">In sub-Saharan Africa, a region characterized by rapid urbanization, slow income growth, and high population increases, the issue becomes even more complex. Despite gains recorded under the MDGs of 1995 (see (UN, 2015) for a comprehensive overview of MDG # I focusing on ‘eradicating extreme poverty and hunger’ </w:t>
      </w:r>
      <w:r w:rsidRPr="001C72A7">
        <w:rPr>
          <w:rFonts w:eastAsia="Times New Roman" w:cs="Times New Roman"/>
          <w:sz w:val="22"/>
          <w:szCs w:val="22"/>
          <w:highlight w:val="white"/>
          <w:lang w:val="en"/>
        </w:rPr>
        <w:fldChar w:fldCharType="begin" w:fldLock="1"/>
      </w:r>
      <w:r w:rsidRPr="001C72A7">
        <w:rPr>
          <w:rFonts w:eastAsia="Times New Roman" w:cs="Times New Roman"/>
          <w:sz w:val="22"/>
          <w:szCs w:val="22"/>
          <w:highlight w:val="white"/>
          <w:lang w:val="en"/>
        </w:rPr>
        <w:instrText>ADDIN CSL_CITATION {"citationItems":[{"id":"ITEM-1","itemData":{"URL":"https://www.un.org/millenniumgoals/","accessed":{"date-parts":[["2020","5","19"]]},"author":[{"dropping-particle":"","family":"UN","given":"","non-dropping-particle":"","parse-names":false,"suffix":""}],"container-title":"United Nations Millennium Development Goals","id":"ITEM-1","issued":{"date-parts":[["2015"]]},"title":"United Nations Millennium Development Goals","type":"webpage"},"uris":["http://www.mendeley.com/documents/?uuid=261e88e2-877e-47c0-b2cf-e92ed1eac87b"]}],"mendeley":{"formattedCitation":"(UN, 2015)","plainTextFormattedCitation":"(UN, 2015)","previouslyFormattedCitation":"(UN, 2015)"},"properties":{"noteIndex":0},"schema":"https://github.com/citation-style-language/schema/raw/master/csl-citation.json"}</w:instrText>
      </w:r>
      <w:r w:rsidRPr="001C72A7">
        <w:rPr>
          <w:rFonts w:eastAsia="Times New Roman" w:cs="Times New Roman"/>
          <w:sz w:val="22"/>
          <w:szCs w:val="22"/>
          <w:highlight w:val="white"/>
          <w:lang w:val="en"/>
        </w:rPr>
        <w:fldChar w:fldCharType="separate"/>
      </w:r>
      <w:r w:rsidRPr="001C72A7">
        <w:rPr>
          <w:rFonts w:eastAsia="Times New Roman" w:cs="Times New Roman"/>
          <w:noProof/>
          <w:sz w:val="22"/>
          <w:szCs w:val="22"/>
          <w:highlight w:val="white"/>
          <w:lang w:val="en"/>
        </w:rPr>
        <w:t>(UN, 2015)</w:t>
      </w:r>
      <w:r w:rsidRPr="001C72A7">
        <w:rPr>
          <w:rFonts w:eastAsia="Times New Roman" w:cs="Times New Roman"/>
          <w:sz w:val="22"/>
          <w:szCs w:val="22"/>
          <w:highlight w:val="white"/>
          <w:lang w:val="en"/>
        </w:rPr>
        <w:fldChar w:fldCharType="end"/>
      </w:r>
      <w:r w:rsidRPr="001C72A7">
        <w:rPr>
          <w:rFonts w:eastAsia="Times New Roman" w:cs="Times New Roman"/>
          <w:sz w:val="22"/>
          <w:szCs w:val="22"/>
          <w:highlight w:val="white"/>
          <w:lang w:val="en"/>
        </w:rPr>
        <w:t xml:space="preserve"> and commitments to eradicate hunger by 2025, expressed under the Malabo Declaration, current estimates put the figure of food insecure people at 218 million people, making this one of the regions with the highest proportion of undernourishment </w:t>
      </w:r>
      <w:r w:rsidRPr="001C72A7">
        <w:rPr>
          <w:rFonts w:eastAsia="Times New Roman" w:cs="Times New Roman"/>
          <w:sz w:val="22"/>
          <w:szCs w:val="22"/>
          <w:highlight w:val="white"/>
          <w:lang w:val="en"/>
        </w:rPr>
        <w:fldChar w:fldCharType="begin" w:fldLock="1"/>
      </w:r>
      <w:r w:rsidRPr="001C72A7">
        <w:rPr>
          <w:rFonts w:eastAsia="Times New Roman" w:cs="Times New Roman"/>
          <w:sz w:val="22"/>
          <w:szCs w:val="22"/>
          <w:highlight w:val="white"/>
          <w:lang w:val="en"/>
        </w:rPr>
        <w:instrText>ADDIN CSL_CITATION {"citationItems":[{"id":"ITEM-1","itemData":{"abstract":"Food insecurity in the 76 low- and middle-income countries examined in this report is expected to remain virtually unchanged between 2012 and 2013. By 2023, however, the number of food-insecure people is projected to increase nearly 23% to 868 million, with the share of the population that is food insecure growing from 20.4% to 21.5%. Tables, Figures, References.","author":[{"dropping-particle":"","family":"Thome","given":"Karen","non-dropping-particle":"","parse-names":false,"suffix":""},{"dropping-particle":"","family":"Meade","given":"Birgit","non-dropping-particle":"","parse-names":false,"suffix":""},{"dropping-particle":"","family":"Daugherty","given":"Kamron","non-dropping-particle":"","parse-names":false,"suffix":""},{"dropping-particle":"","family":"Christensen","given":"Cheryl","non-dropping-particle":"","parse-names":false,"suffix":""}],"id":"ITEM-1","issue":"June","issued":{"date-parts":[["2018"]]},"page":"48","title":"International Food Security Assessment, 2018-2028","type":"article-journal"},"uris":["http://www.mendeley.com/documents/?uuid=972b5768-d4ee-4216-8505-e8047c3a737c"]},{"id":"ITEM-2","itemData":{"DOI":"10.3390/su9081490","ISSN":"20711050","abstract":"While Tanzania has been facing food shortage for some decades, little efforts have been made to elicit optimal crop yields. To limit this problem, there is a need for a robust agricultural policy that aims at stabilizing agricultural production and socio-economic entitlement among the farmers. The present study analyses the production trend of maize, sorghum and millet (i.e., staple food crops) under rain fed agriculture in Kongwa District, the semi-arid agro-ecological zone of Central Tanzania, and envisage their implications to food security and policy. We collected a set of crop data (1980-2015) from the Ministry of Agriculture, Livestock and Fisheries. In addition, 400 respondents were sampled randomly in the study area during household survey while a series of interviews and discussions were conducted mostly basing on the expertise. The Mann-Kendall Test and Microsoft excel (window 13) and theme content methods were employed for data analyses. The results showed that the production trends for maize, sorghum and millet yields have been decreasing at R2 = 0.40, 0.35 and 0.11 respectively and this trend was supported by 80% of the respondents. This decrease was greatly influenced by the temporal decrease in the mean annual rainfall (R2 = 0.21). The diminishing production trend has already decreased food security for 30% in the area. Since agricultural policy can be among the main sources of this poor yields, an explicit and sound agricultural policy should be the central aspect in planning and implementing agricultural activities.","author":[{"dropping-particle":"","family":"Mkonda","given":"Msafiri Y.","non-dropping-particle":"","parse-names":false,"suffix":""},{"dropping-particle":"","family":"He","given":"Xinhua","non-dropping-particle":"","parse-names":false,"suffix":""}],"container-title":"Sustainability (Switzerland)","id":"ITEM-2","issue":"8","issued":{"date-parts":[["2017"]]},"title":"Yields of the major food crops: Implications to food security and policy in Tanzania's semi-arid agro-ecological zone","type":"article-journal","volume":"9"},"uris":["http://www.mendeley.com/documents/?uuid=b98c605c-ab5e-4d07-9585-ed1038f3d3ca"]},{"id":"ITEM-3","itemData":{"author":[{"dropping-particle":"","family":"AUC","given":"","non-dropping-particle":"","parse-names":false,"suffix":""}],"container-title":"Addis Ababa, Ethiopia: AUC","id":"ITEM-3","issued":{"date-parts":[["2014"]]},"title":"Malabo Declaration on Accelerated Agricultural Growth and Transformation for Shared Prosperity and Improved Livelihoods","type":"article-journal"},"uris":["http://www.mendeley.com/documents/?uuid=fda558e2-5634-46a0-95c6-7c150f85453a"]}],"mendeley":{"formattedCitation":"(AUC, 2014; Mkonda and He, 2017; Thome &lt;i&gt;et al.&lt;/i&gt;, 2018)","plainTextFormattedCitation":"(AUC, 2014; Mkonda and He, 2017; Thome et al., 2018)","previouslyFormattedCitation":"(AUC, 2014; Mkonda and He, 2017; Thome &lt;i&gt;et al.&lt;/i&gt;, 2018)"},"properties":{"noteIndex":0},"schema":"https://github.com/citation-style-language/schema/raw/master/csl-citation.json"}</w:instrText>
      </w:r>
      <w:r w:rsidRPr="001C72A7">
        <w:rPr>
          <w:rFonts w:eastAsia="Times New Roman" w:cs="Times New Roman"/>
          <w:sz w:val="22"/>
          <w:szCs w:val="22"/>
          <w:highlight w:val="white"/>
          <w:lang w:val="en"/>
        </w:rPr>
        <w:fldChar w:fldCharType="separate"/>
      </w:r>
      <w:r w:rsidRPr="001C72A7">
        <w:rPr>
          <w:rFonts w:eastAsia="Times New Roman" w:cs="Times New Roman"/>
          <w:noProof/>
          <w:sz w:val="22"/>
          <w:szCs w:val="22"/>
          <w:highlight w:val="white"/>
          <w:lang w:val="en"/>
        </w:rPr>
        <w:t xml:space="preserve">(AUC, 2014; Mkonda and He, 2017; Thome </w:t>
      </w:r>
      <w:r w:rsidRPr="001C72A7">
        <w:rPr>
          <w:rFonts w:eastAsia="Times New Roman" w:cs="Times New Roman"/>
          <w:i/>
          <w:noProof/>
          <w:sz w:val="22"/>
          <w:szCs w:val="22"/>
          <w:highlight w:val="white"/>
          <w:lang w:val="en"/>
        </w:rPr>
        <w:t>et al.</w:t>
      </w:r>
      <w:r w:rsidRPr="001C72A7">
        <w:rPr>
          <w:rFonts w:eastAsia="Times New Roman" w:cs="Times New Roman"/>
          <w:noProof/>
          <w:sz w:val="22"/>
          <w:szCs w:val="22"/>
          <w:highlight w:val="white"/>
          <w:lang w:val="en"/>
        </w:rPr>
        <w:t>, 2018)</w:t>
      </w:r>
      <w:r w:rsidRPr="001C72A7">
        <w:rPr>
          <w:rFonts w:eastAsia="Times New Roman" w:cs="Times New Roman"/>
          <w:sz w:val="22"/>
          <w:szCs w:val="22"/>
          <w:highlight w:val="white"/>
          <w:lang w:val="en"/>
        </w:rPr>
        <w:fldChar w:fldCharType="end"/>
      </w:r>
      <w:r w:rsidRPr="001C72A7">
        <w:rPr>
          <w:rFonts w:eastAsia="Times New Roman" w:cs="Times New Roman"/>
          <w:sz w:val="22"/>
          <w:szCs w:val="22"/>
          <w:highlight w:val="white"/>
          <w:lang w:val="en"/>
        </w:rPr>
        <w:t xml:space="preserve">. Moreover, existing data reveal that five of the six most highly food insecure countries in the world (Nigeria, Sudan, Congo, Ethiopia, and Somalia) are in sub-Saharan Africa </w:t>
      </w:r>
      <w:r w:rsidRPr="001C72A7">
        <w:rPr>
          <w:rFonts w:eastAsia="Times New Roman" w:cs="Times New Roman"/>
          <w:sz w:val="22"/>
          <w:szCs w:val="22"/>
          <w:highlight w:val="white"/>
          <w:lang w:val="en"/>
        </w:rPr>
        <w:fldChar w:fldCharType="begin" w:fldLock="1"/>
      </w:r>
      <w:r w:rsidRPr="001C72A7">
        <w:rPr>
          <w:rFonts w:eastAsia="Times New Roman" w:cs="Times New Roman"/>
          <w:sz w:val="22"/>
          <w:szCs w:val="22"/>
          <w:highlight w:val="white"/>
          <w:lang w:val="en"/>
        </w:rPr>
        <w:instrText>ADDIN CSL_CITATION {"citationItems":[{"id":"ITEM-1","itemData":{"abstract":"Extreme climate events – mainly drought – were also major triggers of food crises in 23 countries with over 39 million food-insecure people in need of urgent assistance in 2017.","author":[{"dropping-particle":"","family":"FSIN","given":"","non-dropping-particle":"","parse-names":false,"suffix":""}],"container-title":"Food Security Information Network","id":"ITEM-1","issued":{"date-parts":[["2018"]]},"page":"202","title":"Global Report on Food Crisis 2018","type":"article-journal"},"uris":["http://www.mendeley.com/documents/?uuid=daab04a1-7b78-45b7-a815-d227b7e94ef1"]},{"id":"ITEM-2","itemData":{"URL":"http://www.foodsecurityportal.org/api/countries","author":[{"dropping-particle":"","family":"FSP","given":"","non-dropping-particle":"","parse-names":false,"suffix":""}],"container-title":"IFPRI","id":"ITEM-2","issued":{"date-parts":[["0"]]},"title":"Food Security Portal","type":"webpage"},"uris":["http://www.mendeley.com/documents/?uuid=0f063430-6b83-4d3e-b38d-e32b54965d72"]}],"mendeley":{"formattedCitation":"(FSP, no date; FSIN, 2018)","plainTextFormattedCitation":"(FSP, no date; FSIN, 2018)","previouslyFormattedCitation":"(FSP, no date; FSIN, 2018)"},"properties":{"noteIndex":0},"schema":"https://github.com/citation-style-language/schema/raw/master/csl-citation.json"}</w:instrText>
      </w:r>
      <w:r w:rsidRPr="001C72A7">
        <w:rPr>
          <w:rFonts w:eastAsia="Times New Roman" w:cs="Times New Roman"/>
          <w:sz w:val="22"/>
          <w:szCs w:val="22"/>
          <w:highlight w:val="white"/>
          <w:lang w:val="en"/>
        </w:rPr>
        <w:fldChar w:fldCharType="separate"/>
      </w:r>
      <w:r w:rsidRPr="001C72A7">
        <w:rPr>
          <w:rFonts w:eastAsia="Times New Roman" w:cs="Times New Roman"/>
          <w:noProof/>
          <w:sz w:val="22"/>
          <w:szCs w:val="22"/>
          <w:highlight w:val="white"/>
          <w:lang w:val="en"/>
        </w:rPr>
        <w:t>(FSP, no date; FSIN, 2018)</w:t>
      </w:r>
      <w:r w:rsidRPr="001C72A7">
        <w:rPr>
          <w:rFonts w:eastAsia="Times New Roman" w:cs="Times New Roman"/>
          <w:sz w:val="22"/>
          <w:szCs w:val="22"/>
          <w:highlight w:val="white"/>
          <w:lang w:val="en"/>
        </w:rPr>
        <w:fldChar w:fldCharType="end"/>
      </w:r>
      <w:r w:rsidRPr="001C72A7">
        <w:rPr>
          <w:rFonts w:eastAsia="Times New Roman" w:cs="Times New Roman"/>
          <w:sz w:val="22"/>
          <w:szCs w:val="22"/>
          <w:highlight w:val="white"/>
          <w:lang w:val="en"/>
        </w:rPr>
        <w:t>. Inextricably connected to food insecurity is the prevalence of malnutrition, stunting, and undernourishment. We review extant literature on this in the following subsections.</w:t>
      </w:r>
    </w:p>
    <w:p w:rsidR="001C72A7" w:rsidRPr="001C72A7" w:rsidRDefault="001C72A7" w:rsidP="001C72A7">
      <w:pPr>
        <w:spacing w:line="360" w:lineRule="auto"/>
        <w:rPr>
          <w:rFonts w:eastAsia="Times New Roman" w:cs="Times New Roman"/>
          <w:sz w:val="22"/>
          <w:szCs w:val="22"/>
          <w:highlight w:val="white"/>
          <w:lang w:val="en"/>
        </w:rPr>
      </w:pPr>
      <w:r w:rsidRPr="001C72A7">
        <w:rPr>
          <w:rFonts w:eastAsia="Times New Roman" w:cs="Times New Roman"/>
          <w:b/>
          <w:sz w:val="22"/>
          <w:szCs w:val="22"/>
          <w:highlight w:val="white"/>
          <w:lang w:val="en"/>
        </w:rPr>
        <w:t>Prevalence of stunting.</w:t>
      </w:r>
      <w:r w:rsidRPr="001C72A7">
        <w:rPr>
          <w:rFonts w:eastAsia="Times New Roman" w:cs="Times New Roman"/>
          <w:sz w:val="22"/>
          <w:szCs w:val="22"/>
          <w:highlight w:val="white"/>
          <w:lang w:val="en"/>
        </w:rPr>
        <w:t xml:space="preserve"> </w:t>
      </w:r>
      <w:r w:rsidRPr="001C72A7">
        <w:rPr>
          <w:rFonts w:eastAsia="Times New Roman" w:cs="Times New Roman"/>
          <w:sz w:val="22"/>
          <w:szCs w:val="22"/>
          <w:lang w:val="en"/>
        </w:rPr>
        <w:t xml:space="preserve">Stunting, conceptualized as </w:t>
      </w:r>
      <w:r w:rsidRPr="001C72A7">
        <w:rPr>
          <w:rFonts w:eastAsia="Times New Roman" w:cs="Times New Roman"/>
          <w:i/>
          <w:sz w:val="22"/>
          <w:szCs w:val="22"/>
          <w:lang w:val="en"/>
        </w:rPr>
        <w:t>too short for one’s age, a result of chronic malnutrition</w:t>
      </w:r>
      <w:r w:rsidRPr="001C72A7">
        <w:rPr>
          <w:rFonts w:eastAsia="Times New Roman" w:cs="Times New Roman"/>
          <w:sz w:val="22"/>
          <w:szCs w:val="22"/>
          <w:lang w:val="en"/>
        </w:rPr>
        <w:t xml:space="preserve">, has been on the decline globally (falling from 33 per cent in 2000 to 23 per cent in 2016), however, it continues to affect an estimated 155 million children under the age of five worldwide. </w:t>
      </w:r>
      <w:r w:rsidRPr="001C72A7">
        <w:rPr>
          <w:rFonts w:eastAsia="Times New Roman" w:cs="Times New Roman"/>
          <w:sz w:val="22"/>
          <w:szCs w:val="22"/>
          <w:highlight w:val="white"/>
          <w:lang w:val="en"/>
        </w:rPr>
        <w:t>The noted decline has been attributed to improved socioeconomic conditions, enhanced access to healthcare, and nutrition and behavioral changes such as increased breastfeeding and reduced fertility</w:t>
      </w:r>
      <w:r w:rsidRPr="001C72A7">
        <w:rPr>
          <w:rFonts w:eastAsia="Times New Roman" w:cs="Times New Roman"/>
          <w:sz w:val="22"/>
          <w:szCs w:val="22"/>
          <w:highlight w:val="white"/>
          <w:lang w:val="en"/>
        </w:rPr>
        <w:fldChar w:fldCharType="begin" w:fldLock="1"/>
      </w:r>
      <w:r w:rsidRPr="001C72A7">
        <w:rPr>
          <w:rFonts w:eastAsia="Times New Roman" w:cs="Times New Roman"/>
          <w:sz w:val="22"/>
          <w:szCs w:val="22"/>
          <w:highlight w:val="white"/>
          <w:lang w:val="en"/>
        </w:rPr>
        <w:instrText>ADDIN CSL_CITATION {"citationItems":[{"id":"ITEM-1","itemData":{"DOI":"10.1016/j.worlddev.2014.09.022","ISSN":"0305750X","abstract":"Although South Asia has long been synonymous with persistent and unusually high rates of child undernutrition - the so called Asian Enigma - Bangladesh has managed to sustain a surprisingly rapid reduction in the rate of child undernutrition for at least two decades. We investigate this unheralded success through a regression and decomposition analysis of changes in child growth outcomes across five rounds of DHS surveys from 1997 to 2011. We find that rapid wealth accumulation and large gains in parental education are the two largest drivers of change, though health, sanitation, and demographic factors have played significant secondary roles.","author":[{"dropping-particle":"","family":"Headey","given":"Derek","non-dropping-particle":"","parse-names":false,"suffix":""},{"dropping-particle":"","family":"Hoddinott","given":"John","non-dropping-particle":"","parse-names":false,"suffix":""},{"dropping-particle":"","family":"Ali","given":"Disha","non-dropping-particle":"","parse-names":false,"suffix":""},{"dropping-particle":"","family":"Tesfaye","given":"Roman","non-dropping-particle":"","parse-names":false,"suffix":""},{"dropping-particle":"","family":"Dereje","given":"Mekdim","non-dropping-particle":"","parse-names":false,"suffix":""}],"container-title":"World Development","id":"ITEM-1","issued":{"date-parts":[["2015"]]},"page":"749-761","publisher":"Elsevier Ltd","title":"The Other Asian Enigma: Explaining the Rapid Reduction of Undernutrition in Bangladesh","type":"article-journal","volume":"66"},"uris":["http://www.mendeley.com/documents/?uuid=e7fbd88c-516d-4808-ac24-71eff0ad732f"]},{"id":"ITEM-2","itemData":{"DOI":"10.1016/j.worlddev.2014.11.014","ISSN":"18735991","abstract":"As the post-MDG era approaches in 2016, reducing child undernutrition is gaining high priority on the international development agenda, both as a maker and marker of development. Revisiting Smith and Haddad (2000), we use data from 1970 to 2012 for 116 countries, finding that safe water access, sanitation, women's education, gender equality, and the quantity and quality of food available in countries have been key drivers of past reductions in stunting. Income growth and governance played essential facilitating roles. Complementary to nutrition-specific and nutrition-sensitive programs and policies, accelerating reductions in undernutrition in the future will require increased investment in these priority areas.","author":[{"dropping-particle":"","family":"Smith","given":"Lisa C.","non-dropping-particle":"","parse-names":false,"suffix":""},{"dropping-particle":"","family":"Haddad","given":"Lawrence","non-dropping-particle":"","parse-names":false,"suffix":""}],"container-title":"World Development","id":"ITEM-2","issue":"1","issued":{"date-parts":[["2015"]]},"page":"180-204","publisher":"Elsevier Ltd","title":"Reducing Child Undernutrition: Past Drivers and Priorities for the Post-MDG Era","type":"article-journal","volume":"68"},"uris":["http://www.mendeley.com/documents/?uuid=465bba17-2bd2-4b4e-b90f-cce334c69ee8"]}],"mendeley":{"formattedCitation":"(Headey &lt;i&gt;et al.&lt;/i&gt;, 2015; Smith and Haddad, 2015)","plainTextFormattedCitation":"(Headey et al., 2015; Smith and Haddad, 2015)","previouslyFormattedCitation":"(Headey &lt;i&gt;et al.&lt;/i&gt;, 2015; Smith and Haddad, 2015)"},"properties":{"noteIndex":0},"schema":"https://github.com/citation-style-language/schema/raw/master/csl-citation.json"}</w:instrText>
      </w:r>
      <w:r w:rsidRPr="001C72A7">
        <w:rPr>
          <w:rFonts w:eastAsia="Times New Roman" w:cs="Times New Roman"/>
          <w:sz w:val="22"/>
          <w:szCs w:val="22"/>
          <w:highlight w:val="white"/>
          <w:lang w:val="en"/>
        </w:rPr>
        <w:fldChar w:fldCharType="separate"/>
      </w:r>
      <w:r w:rsidRPr="001C72A7">
        <w:rPr>
          <w:rFonts w:eastAsia="Times New Roman" w:cs="Times New Roman"/>
          <w:noProof/>
          <w:sz w:val="22"/>
          <w:szCs w:val="22"/>
          <w:highlight w:val="white"/>
          <w:lang w:val="en"/>
        </w:rPr>
        <w:t xml:space="preserve">(Headey </w:t>
      </w:r>
      <w:r w:rsidRPr="001C72A7">
        <w:rPr>
          <w:rFonts w:eastAsia="Times New Roman" w:cs="Times New Roman"/>
          <w:i/>
          <w:noProof/>
          <w:sz w:val="22"/>
          <w:szCs w:val="22"/>
          <w:highlight w:val="white"/>
          <w:lang w:val="en"/>
        </w:rPr>
        <w:t>et al.</w:t>
      </w:r>
      <w:r w:rsidRPr="001C72A7">
        <w:rPr>
          <w:rFonts w:eastAsia="Times New Roman" w:cs="Times New Roman"/>
          <w:noProof/>
          <w:sz w:val="22"/>
          <w:szCs w:val="22"/>
          <w:highlight w:val="white"/>
          <w:lang w:val="en"/>
        </w:rPr>
        <w:t>, 2015; Smith and Haddad, 2015)</w:t>
      </w:r>
      <w:r w:rsidRPr="001C72A7">
        <w:rPr>
          <w:rFonts w:eastAsia="Times New Roman" w:cs="Times New Roman"/>
          <w:sz w:val="22"/>
          <w:szCs w:val="22"/>
          <w:highlight w:val="white"/>
          <w:lang w:val="en"/>
        </w:rPr>
        <w:fldChar w:fldCharType="end"/>
      </w:r>
      <w:r w:rsidRPr="001C72A7">
        <w:rPr>
          <w:rFonts w:eastAsia="Times New Roman" w:cs="Times New Roman"/>
          <w:sz w:val="22"/>
          <w:szCs w:val="22"/>
          <w:lang w:val="en"/>
        </w:rPr>
        <w:t xml:space="preserve">. Nonetheless, the stunting rates in  sub-Saharan Africa and South Asia remain relatively high </w:t>
      </w:r>
      <w:r w:rsidRPr="001C72A7">
        <w:rPr>
          <w:rFonts w:eastAsia="Times New Roman" w:cs="Times New Roman"/>
          <w:sz w:val="22"/>
          <w:szCs w:val="22"/>
          <w:lang w:val="en"/>
        </w:rPr>
        <w:fldChar w:fldCharType="begin" w:fldLock="1"/>
      </w:r>
      <w:r w:rsidRPr="001C72A7">
        <w:rPr>
          <w:rFonts w:eastAsia="Times New Roman" w:cs="Times New Roman"/>
          <w:sz w:val="22"/>
          <w:szCs w:val="22"/>
          <w:lang w:val="en"/>
        </w:rPr>
        <w:instrText>ADDIN CSL_CITATION {"citationItems":[{"id":"ITEM-1","itemData":{"DOI":"10.1093/ije/dyu075","ISSN":"14643685","abstract":"Background: Global progress in reducing the burden of undernutrition tends to be measured at the population level. It has been hypothesized that population-level improvements may mask widening socioeconomic inequalities, but little attempt has been made to assess whether this is true. Methods: Original data from 131 demographic health surveys and 48 multiple indicator cluster surveys from 1990 to 2011 were used to examine trends in socioeconomic inequalities in stunting and underweight, as well as the relationship between changes in prevalence and changes in inequality, in 80 countries. Socioeconomic inequality is measured using the corrected concentration index. Results: Countries with a higher prevalence of stunting tend to have larger socioeconomic inequalities in stunting (Spearman rank correlation=-0.27 P=0.014). In most countries, there has been no change in inequality in stunting: in 31 out of 53, the 90% confidence intervals around the changes overlap the zero value. In the remaining 22, there was a reduction in inequality in 11 and an increase in 11. The distributional patterns underlying the summary inequality statistics vary considerably across countries, but in most there have been considerable gains to the poorest quintile. Conclusions: Reductions in the prevalence of undernutrition have generally not been accompanied by widening inequalities. However, inequalities have also not been narrowing. Rather, the picture is one of a strong persistence of existing inequalities. In addition, there are different distributional patterns underlying changes in the summary indices of inequality which will need to be taken into consideration in designing programmes to reach the poor. © The Author 2014; Published by Oxford University Press on behalf of the International Epidemiological Association all rights reserved.","author":[{"dropping-particle":"","family":"Bredenkamp","given":"Caryn","non-dropping-particle":"","parse-names":false,"suffix":""},{"dropping-particle":"","family":"Buisman","given":"Leander R.","non-dropping-particle":"","parse-names":false,"suffix":""},{"dropping-particle":"","family":"Poel","given":"Ellen","non-dropping-particle":"Van de","parse-names":false,"suffix":""}],"container-title":"International Journal of Epidemiology","id":"ITEM-1","issue":"4","issued":{"date-parts":[["2014"]]},"page":"1328-1335","title":"Persistent inequalities in child undernutrition: Evidence from 80 countries, from 1990 to today","type":"article-journal","volume":"43"},"uris":["http://www.mendeley.com/documents/?uuid=d426fc34-b577-489b-b7cc-6f32173453d5"]},{"id":"ITEM-2","itemData":{"DOI":"10.1042/cs0470143","ISSN":"03010538","author":[{"dropping-particle":"","family":"UNICEF","given":"","non-dropping-particle":"","parse-names":false,"suffix":""},{"dropping-particle":"","family":"WHO","given":"","non-dropping-particle":"","parse-names":false,"suffix":""},{"dropping-particle":"","family":"World Bank Group","given":"","non-dropping-particle":"","parse-names":false,"suffix":""}],"container-title":"Key findings of the 2017 edition","id":"ITEM-2","issued":{"date-parts":[["2017"]]},"publisher-place":"UNICEF WHO World Bank Group","title":"LEVELS AND TRENDS IN CHILD MALNUTRITION","type":"report"},"uris":["http://www.mendeley.com/documents/?uuid=47596e32-73b5-468d-b043-1b2662c8f490"]}],"mendeley":{"formattedCitation":"(Bredenkamp, Buisman and Van de Poel, 2014; UNICEF, WHO and World Bank Group, 2017)","plainTextFormattedCitation":"(Bredenkamp, Buisman and Van de Poel, 2014; UNICEF, WHO and World Bank Group, 2017)","previouslyFormattedCitation":"(Bredenkamp, Buisman and Van de Poel, 2014; UNICEF, WHO and World Bank Group, 2017)"},"properties":{"noteIndex":0},"schema":"https://github.com/citation-style-language/schema/raw/master/csl-citation.json"}</w:instrText>
      </w:r>
      <w:r w:rsidRPr="001C72A7">
        <w:rPr>
          <w:rFonts w:eastAsia="Times New Roman" w:cs="Times New Roman"/>
          <w:sz w:val="22"/>
          <w:szCs w:val="22"/>
          <w:lang w:val="en"/>
        </w:rPr>
        <w:fldChar w:fldCharType="separate"/>
      </w:r>
      <w:r w:rsidRPr="001C72A7">
        <w:rPr>
          <w:rFonts w:eastAsia="Times New Roman" w:cs="Times New Roman"/>
          <w:noProof/>
          <w:sz w:val="22"/>
          <w:szCs w:val="22"/>
          <w:lang w:val="en"/>
        </w:rPr>
        <w:t>(Bredenkamp, Buisman and Van de Poel, 2014; UNICEF, WHO and World Bank Group, 2017)</w:t>
      </w:r>
      <w:r w:rsidRPr="001C72A7">
        <w:rPr>
          <w:rFonts w:eastAsia="Times New Roman" w:cs="Times New Roman"/>
          <w:sz w:val="22"/>
          <w:szCs w:val="22"/>
          <w:lang w:val="en"/>
        </w:rPr>
        <w:fldChar w:fldCharType="end"/>
      </w:r>
      <w:r w:rsidRPr="001C72A7">
        <w:rPr>
          <w:rFonts w:eastAsia="Times New Roman" w:cs="Times New Roman"/>
          <w:sz w:val="22"/>
          <w:szCs w:val="22"/>
          <w:lang w:val="en"/>
        </w:rPr>
        <w:t xml:space="preserve">. Within Sub Saharan Africa, data suggest that </w:t>
      </w:r>
      <w:r w:rsidRPr="001C72A7">
        <w:rPr>
          <w:rFonts w:eastAsia="Times New Roman" w:cs="Times New Roman"/>
          <w:sz w:val="22"/>
          <w:szCs w:val="22"/>
          <w:highlight w:val="white"/>
          <w:lang w:val="en"/>
        </w:rPr>
        <w:t xml:space="preserve">rates of stunting continue to be stubbornly high in Malawi, Mozambique, and Sierra Leone </w:t>
      </w:r>
      <w:r w:rsidRPr="001C72A7">
        <w:rPr>
          <w:rFonts w:eastAsia="Times New Roman" w:cs="Times New Roman"/>
          <w:sz w:val="22"/>
          <w:szCs w:val="22"/>
          <w:highlight w:val="white"/>
          <w:lang w:val="en"/>
        </w:rPr>
        <w:fldChar w:fldCharType="begin" w:fldLock="1"/>
      </w:r>
      <w:r w:rsidRPr="001C72A7">
        <w:rPr>
          <w:rFonts w:eastAsia="Times New Roman" w:cs="Times New Roman"/>
          <w:sz w:val="22"/>
          <w:szCs w:val="22"/>
          <w:highlight w:val="white"/>
          <w:lang w:val="en"/>
        </w:rPr>
        <w:instrText>ADDIN CSL_CITATION {"citationItems":[{"id":"ITEM-1","itemData":{"DOI":"10.1093/ije/dyu075","ISSN":"14643685","abstract":"Background: Global progress in reducing the burden of undernutrition tends to be measured at the population level. It has been hypothesized that population-level improvements may mask widening socioeconomic inequalities, but little attempt has been made to assess whether this is true. Methods: Original data from 131 demographic health surveys and 48 multiple indicator cluster surveys from 1990 to 2011 were used to examine trends in socioeconomic inequalities in stunting and underweight, as well as the relationship between changes in prevalence and changes in inequality, in 80 countries. Socioeconomic inequality is measured using the corrected concentration index. Results: Countries with a higher prevalence of stunting tend to have larger socioeconomic inequalities in stunting (Spearman rank correlation=-0.27 P=0.014). In most countries, there has been no change in inequality in stunting: in 31 out of 53, the 90% confidence intervals around the changes overlap the zero value. In the remaining 22, there was a reduction in inequality in 11 and an increase in 11. The distributional patterns underlying the summary inequality statistics vary considerably across countries, but in most there have been considerable gains to the poorest quintile. Conclusions: Reductions in the prevalence of undernutrition have generally not been accompanied by widening inequalities. However, inequalities have also not been narrowing. Rather, the picture is one of a strong persistence of existing inequalities. In addition, there are different distributional patterns underlying changes in the summary indices of inequality which will need to be taken into consideration in designing programmes to reach the poor. © The Author 2014; Published by Oxford University Press on behalf of the International Epidemiological Association all rights reserved.","author":[{"dropping-particle":"","family":"Bredenkamp","given":"Caryn","non-dropping-particle":"","parse-names":false,"suffix":""},{"dropping-particle":"","family":"Buisman","given":"Leander R.","non-dropping-particle":"","parse-names":false,"suffix":""},{"dropping-particle":"","family":"Poel","given":"Ellen","non-dropping-particle":"Van de","parse-names":false,"suffix":""}],"container-title":"International Journal of Epidemiology","id":"ITEM-1","issue":"4","issued":{"date-parts":[["2014"]]},"page":"1328-1335","title":"Persistent inequalities in child undernutrition: Evidence from 80 countries, from 1990 to today","type":"article-journal","volume":"43"},"uris":["http://www.mendeley.com/documents/?uuid=d426fc34-b577-489b-b7cc-6f32173453d5"]},{"id":"ITEM-2","itemData":{"author":[{"dropping-particle":"","family":"Mariama Sow","given":"","non-dropping-particle":"","parse-names":false,"suffix":""}],"id":"ITEM-2","issued":{"date-parts":[["2017"]]},"title":"Africa’s progress on the SDGs and Agenda 2063","type":"report"},"uris":["http://www.mendeley.com/documents/?uuid=edaa5c02-136d-4a4d-9c27-63b334b16ff4"]},{"id":"ITEM-3","itemData":{"URL":"https://openknowledge.worldbank.org/handle/10986/26447","accessed":{"date-parts":[["2020","6","13"]]},"container-title":"World Development Indicators, The World Bank","id":"ITEM-3","issued":{"date-parts":[["2017"]]},"title":"World Development Indicators","type":"webpage"},"uris":["http://www.mendeley.com/documents/?uuid=4447ef03-433f-3298-b58e-52f0aae5a963"]}],"mendeley":{"formattedCitation":"(Bredenkamp, Buisman and Van de Poel, 2014; &lt;i&gt;World Development Indicators&lt;/i&gt;, 2017; Mariama Sow, 2017)","plainTextFormattedCitation":"(Bredenkamp, Buisman and Van de Poel, 2014; World Development Indicators, 2017; Mariama Sow, 2017)","previouslyFormattedCitation":"(Bredenkamp, Buisman and Van de Poel, 2014; &lt;i&gt;World Development Indicators&lt;/i&gt;, 2017; Mariama Sow, 2017)"},"properties":{"noteIndex":0},"schema":"https://github.com/citation-style-language/schema/raw/master/csl-citation.json"}</w:instrText>
      </w:r>
      <w:r w:rsidRPr="001C72A7">
        <w:rPr>
          <w:rFonts w:eastAsia="Times New Roman" w:cs="Times New Roman"/>
          <w:sz w:val="22"/>
          <w:szCs w:val="22"/>
          <w:highlight w:val="white"/>
          <w:lang w:val="en"/>
        </w:rPr>
        <w:fldChar w:fldCharType="separate"/>
      </w:r>
      <w:r w:rsidRPr="001C72A7">
        <w:rPr>
          <w:rFonts w:eastAsia="Times New Roman" w:cs="Times New Roman"/>
          <w:noProof/>
          <w:sz w:val="22"/>
          <w:szCs w:val="22"/>
          <w:highlight w:val="white"/>
          <w:lang w:val="en"/>
        </w:rPr>
        <w:t xml:space="preserve">(Bredenkamp, Buisman and Van de Poel, 2014; </w:t>
      </w:r>
      <w:r w:rsidRPr="001C72A7">
        <w:rPr>
          <w:rFonts w:eastAsia="Times New Roman" w:cs="Times New Roman"/>
          <w:i/>
          <w:noProof/>
          <w:sz w:val="22"/>
          <w:szCs w:val="22"/>
          <w:highlight w:val="white"/>
          <w:lang w:val="en"/>
        </w:rPr>
        <w:t>World Development Indicators</w:t>
      </w:r>
      <w:r w:rsidRPr="001C72A7">
        <w:rPr>
          <w:rFonts w:eastAsia="Times New Roman" w:cs="Times New Roman"/>
          <w:noProof/>
          <w:sz w:val="22"/>
          <w:szCs w:val="22"/>
          <w:highlight w:val="white"/>
          <w:lang w:val="en"/>
        </w:rPr>
        <w:t>, 2017; Mariama Sow, 2017)</w:t>
      </w:r>
      <w:r w:rsidRPr="001C72A7">
        <w:rPr>
          <w:rFonts w:eastAsia="Times New Roman" w:cs="Times New Roman"/>
          <w:sz w:val="22"/>
          <w:szCs w:val="22"/>
          <w:highlight w:val="white"/>
          <w:lang w:val="en"/>
        </w:rPr>
        <w:fldChar w:fldCharType="end"/>
      </w:r>
      <w:r w:rsidRPr="001C72A7">
        <w:rPr>
          <w:rFonts w:eastAsia="Times New Roman" w:cs="Times New Roman"/>
          <w:sz w:val="22"/>
          <w:szCs w:val="22"/>
          <w:highlight w:val="white"/>
          <w:lang w:val="en"/>
        </w:rPr>
        <w:t xml:space="preserve">.  </w:t>
      </w:r>
    </w:p>
    <w:p w:rsidR="001C72A7" w:rsidRPr="001C72A7" w:rsidRDefault="001C72A7" w:rsidP="001C72A7">
      <w:pPr>
        <w:spacing w:line="360" w:lineRule="auto"/>
        <w:rPr>
          <w:rFonts w:eastAsia="Times New Roman" w:cs="Times New Roman"/>
          <w:sz w:val="22"/>
          <w:szCs w:val="22"/>
          <w:highlight w:val="white"/>
          <w:lang w:val="en"/>
        </w:rPr>
      </w:pPr>
    </w:p>
    <w:p w:rsidR="001C72A7" w:rsidRPr="001C72A7" w:rsidRDefault="001C72A7" w:rsidP="001C72A7">
      <w:pPr>
        <w:spacing w:line="360" w:lineRule="auto"/>
        <w:rPr>
          <w:rFonts w:eastAsia="Times New Roman" w:cs="Times New Roman"/>
          <w:sz w:val="22"/>
          <w:szCs w:val="22"/>
          <w:lang w:val="en"/>
        </w:rPr>
      </w:pPr>
      <w:r w:rsidRPr="001C72A7">
        <w:rPr>
          <w:rFonts w:eastAsia="Times New Roman" w:cs="Times New Roman"/>
          <w:b/>
          <w:sz w:val="22"/>
          <w:szCs w:val="22"/>
          <w:highlight w:val="white"/>
          <w:lang w:val="en"/>
        </w:rPr>
        <w:t>Prevalence of Malnutrition.</w:t>
      </w:r>
      <w:r w:rsidRPr="001C72A7">
        <w:rPr>
          <w:rFonts w:eastAsia="Times New Roman" w:cs="Times New Roman"/>
          <w:sz w:val="22"/>
          <w:szCs w:val="22"/>
          <w:highlight w:val="white"/>
          <w:lang w:val="en"/>
        </w:rPr>
        <w:t xml:space="preserve"> Wasting, or low weight for height, is a strong predictor of mortality among children under the age of five and usually results from acute food insecurity and/or disease. </w:t>
      </w:r>
      <w:r w:rsidRPr="001C72A7">
        <w:rPr>
          <w:rFonts w:eastAsia="Times New Roman" w:cs="Times New Roman"/>
          <w:sz w:val="22"/>
          <w:szCs w:val="22"/>
          <w:lang w:val="en"/>
        </w:rPr>
        <w:t xml:space="preserve">Despite global declines in the proportion of children suffering from wasting/undernutrition, an estimated 49 million children under five years of age suffer from wasting </w:t>
      </w:r>
      <w:r w:rsidRPr="001C72A7">
        <w:rPr>
          <w:rFonts w:eastAsia="Times New Roman" w:cs="Times New Roman"/>
          <w:sz w:val="22"/>
          <w:szCs w:val="22"/>
          <w:lang w:val="en"/>
        </w:rPr>
        <w:fldChar w:fldCharType="begin" w:fldLock="1"/>
      </w:r>
      <w:r w:rsidRPr="001C72A7">
        <w:rPr>
          <w:rFonts w:eastAsia="Times New Roman" w:cs="Times New Roman"/>
          <w:sz w:val="22"/>
          <w:szCs w:val="22"/>
          <w:lang w:val="en"/>
        </w:rPr>
        <w:instrText>ADDIN CSL_CITATION {"citationItems":[{"id":"ITEM-1","itemData":{"URL":"https://www.who.int/gho/child-malnutrition/en/","accessed":{"date-parts":[["2020","11","4"]]},"author":[{"dropping-particle":"","family":"WHO","given":"","non-dropping-particle":"","parse-names":false,"suffix":""}],"container-title":"World Health Organization","id":"ITEM-1","issued":{"date-parts":[["2019"]]},"title":"Global Health Observatory (GHO) data on Child Malnutrition","type":"webpage"},"uris":["http://www.mendeley.com/documents/?uuid=69d26847-f858-4f8c-9aed-22bfd6e5e2e0"]}],"mendeley":{"formattedCitation":"(WHO, 2019)","plainTextFormattedCitation":"(WHO, 2019)","previouslyFormattedCitation":"(WHO, 2019)"},"properties":{"noteIndex":0},"schema":"https://github.com/citation-style-language/schema/raw/master/csl-citation.json"}</w:instrText>
      </w:r>
      <w:r w:rsidRPr="001C72A7">
        <w:rPr>
          <w:rFonts w:eastAsia="Times New Roman" w:cs="Times New Roman"/>
          <w:sz w:val="22"/>
          <w:szCs w:val="22"/>
          <w:lang w:val="en"/>
        </w:rPr>
        <w:fldChar w:fldCharType="separate"/>
      </w:r>
      <w:r w:rsidRPr="001C72A7">
        <w:rPr>
          <w:rFonts w:eastAsia="Times New Roman" w:cs="Times New Roman"/>
          <w:noProof/>
          <w:sz w:val="22"/>
          <w:szCs w:val="22"/>
          <w:lang w:val="en"/>
        </w:rPr>
        <w:t>(WHO, 2019)</w:t>
      </w:r>
      <w:r w:rsidRPr="001C72A7">
        <w:rPr>
          <w:rFonts w:eastAsia="Times New Roman" w:cs="Times New Roman"/>
          <w:sz w:val="22"/>
          <w:szCs w:val="22"/>
          <w:lang w:val="en"/>
        </w:rPr>
        <w:fldChar w:fldCharType="end"/>
      </w:r>
      <w:r w:rsidRPr="001C72A7">
        <w:rPr>
          <w:rFonts w:eastAsia="Times New Roman" w:cs="Times New Roman"/>
          <w:sz w:val="22"/>
          <w:szCs w:val="22"/>
          <w:lang w:val="en"/>
        </w:rPr>
        <w:t>. Moreover, the prevalence of wasting is significantly high across sub-Saharan Africa and South Asia (greater than 15 percent). Within sub-Saharan Africa, the prevalence of child undernutrition is associated with political instability and conflict amon</w:t>
      </w:r>
      <w:r w:rsidR="00F31A83">
        <w:rPr>
          <w:rFonts w:eastAsia="Times New Roman" w:cs="Times New Roman"/>
          <w:sz w:val="22"/>
          <w:szCs w:val="22"/>
          <w:lang w:val="en"/>
        </w:rPr>
        <w:t xml:space="preserve">g other crises. High levels of </w:t>
      </w:r>
      <w:r w:rsidRPr="001C72A7">
        <w:rPr>
          <w:rFonts w:eastAsia="Times New Roman" w:cs="Times New Roman"/>
          <w:sz w:val="22"/>
          <w:szCs w:val="22"/>
          <w:lang w:val="en"/>
        </w:rPr>
        <w:t xml:space="preserve">wasting were reported in the Democratic Republic of Congo from the late 1990s to early 2000s, a period of the Second Congo War. Similarly, South Sudan reports the highest prevalence of wasting with nearly 2.2 million children suffering from wasting every year </w:t>
      </w:r>
      <w:r w:rsidRPr="001C72A7">
        <w:rPr>
          <w:rFonts w:eastAsia="Times New Roman" w:cs="Times New Roman"/>
          <w:sz w:val="22"/>
          <w:szCs w:val="22"/>
          <w:lang w:val="en"/>
        </w:rPr>
        <w:fldChar w:fldCharType="begin" w:fldLock="1"/>
      </w:r>
      <w:r w:rsidRPr="001C72A7">
        <w:rPr>
          <w:rFonts w:eastAsia="Times New Roman" w:cs="Times New Roman"/>
          <w:sz w:val="22"/>
          <w:szCs w:val="22"/>
          <w:lang w:val="en"/>
        </w:rPr>
        <w:instrText>ADDIN CSL_CITATION {"citationItems":[{"id":"ITEM-1","itemData":{"URL":"https://www.who.int/emergencies/response-plans/2017/sudan/en/","accessed":{"date-parts":[["2020","11","4"]]},"author":[{"dropping-particle":"","family":"WHO","given":"","non-dropping-particle":"","parse-names":false,"suffix":""}],"container-title":"World Health Organization","id":"ITEM-1","issued":{"date-parts":[["2017"]]},"title":"Sudan Humanitarian Response Plan","type":"webpage"},"uris":["http://www.mendeley.com/documents/?uuid=6b841910-2c7f-4c0f-9790-d74ff8a77e59"]}],"mendeley":{"formattedCitation":"(WHO, 2017)","plainTextFormattedCitation":"(WHO, 2017)","previouslyFormattedCitation":"(WHO, 2017)"},"properties":{"noteIndex":0},"schema":"https://github.com/citation-style-language/schema/raw/master/csl-citation.json"}</w:instrText>
      </w:r>
      <w:r w:rsidRPr="001C72A7">
        <w:rPr>
          <w:rFonts w:eastAsia="Times New Roman" w:cs="Times New Roman"/>
          <w:sz w:val="22"/>
          <w:szCs w:val="22"/>
          <w:lang w:val="en"/>
        </w:rPr>
        <w:fldChar w:fldCharType="separate"/>
      </w:r>
      <w:r w:rsidRPr="001C72A7">
        <w:rPr>
          <w:rFonts w:eastAsia="Times New Roman" w:cs="Times New Roman"/>
          <w:noProof/>
          <w:sz w:val="22"/>
          <w:szCs w:val="22"/>
          <w:lang w:val="en"/>
        </w:rPr>
        <w:t>(WHO, 2017)</w:t>
      </w:r>
      <w:r w:rsidRPr="001C72A7">
        <w:rPr>
          <w:rFonts w:eastAsia="Times New Roman" w:cs="Times New Roman"/>
          <w:sz w:val="22"/>
          <w:szCs w:val="22"/>
          <w:lang w:val="en"/>
        </w:rPr>
        <w:fldChar w:fldCharType="end"/>
      </w:r>
      <w:r w:rsidRPr="001C72A7">
        <w:rPr>
          <w:rFonts w:eastAsia="Times New Roman" w:cs="Times New Roman"/>
          <w:sz w:val="22"/>
          <w:szCs w:val="22"/>
          <w:lang w:val="en"/>
        </w:rPr>
        <w:t xml:space="preserve">. </w:t>
      </w:r>
    </w:p>
    <w:p w:rsidR="001C72A7" w:rsidRPr="001C72A7" w:rsidRDefault="001C72A7" w:rsidP="001C72A7">
      <w:pPr>
        <w:spacing w:line="360" w:lineRule="auto"/>
        <w:rPr>
          <w:rFonts w:eastAsia="Times New Roman" w:cs="Times New Roman"/>
          <w:sz w:val="22"/>
          <w:szCs w:val="22"/>
          <w:lang w:val="en"/>
        </w:rPr>
      </w:pPr>
      <w:r w:rsidRPr="001C72A7">
        <w:rPr>
          <w:rFonts w:eastAsia="Times New Roman" w:cs="Times New Roman"/>
          <w:b/>
          <w:sz w:val="22"/>
          <w:szCs w:val="22"/>
          <w:lang w:val="en"/>
        </w:rPr>
        <w:t>Prevalence of undernutrition.</w:t>
      </w:r>
      <w:r w:rsidRPr="001C72A7">
        <w:rPr>
          <w:rFonts w:eastAsia="Times New Roman" w:cs="Times New Roman"/>
          <w:sz w:val="22"/>
          <w:szCs w:val="22"/>
          <w:lang w:val="en"/>
        </w:rPr>
        <w:t xml:space="preserve"> </w:t>
      </w:r>
      <w:r w:rsidRPr="001C72A7">
        <w:rPr>
          <w:rFonts w:eastAsia="Times New Roman" w:cs="Times New Roman"/>
          <w:sz w:val="22"/>
          <w:szCs w:val="22"/>
          <w:highlight w:val="white"/>
          <w:lang w:val="en"/>
        </w:rPr>
        <w:t xml:space="preserve">This indicator captures the proportion of the population whose daily food consumption is insufficient for the dietary energy levels needed to maintain a normal active and healthy life and is generally expressed in percentages. </w:t>
      </w:r>
      <w:r w:rsidRPr="001C72A7">
        <w:rPr>
          <w:rFonts w:eastAsia="Times New Roman" w:cs="Times New Roman"/>
          <w:sz w:val="22"/>
          <w:szCs w:val="22"/>
          <w:lang w:val="en"/>
        </w:rPr>
        <w:t xml:space="preserve">Globally, the prevalence of undernourishment continues to be stubborn - 10.6% in 2015 to 10.8% in 2018 </w:t>
      </w:r>
      <w:r w:rsidRPr="001C72A7">
        <w:rPr>
          <w:rFonts w:eastAsia="Times New Roman" w:cs="Times New Roman"/>
          <w:sz w:val="22"/>
          <w:szCs w:val="22"/>
          <w:lang w:val="en"/>
        </w:rPr>
        <w:fldChar w:fldCharType="begin" w:fldLock="1"/>
      </w:r>
      <w:r w:rsidRPr="001C72A7">
        <w:rPr>
          <w:rFonts w:eastAsia="Times New Roman" w:cs="Times New Roman"/>
          <w:sz w:val="22"/>
          <w:szCs w:val="22"/>
          <w:lang w:val="en"/>
        </w:rPr>
        <w:instrText>ADDIN CSL_CITATION {"citationItems":[{"id":"ITEM-1","itemData":{"ISBN":"9789251318218","author":[{"dropping-particle":"","family":"FAO","given":"","non-dropping-particle":"","parse-names":false,"suffix":""}],"id":"ITEM-1","issued":{"date-parts":[["2019"]]},"title":"Fifteen years implementing the Right to Food Guidelines - Reviewing progress to achieve the 2030 Agenda","type":"book"},"uris":["http://www.mendeley.com/documents/?uuid=0fb3045a-1a66-48ba-8753-bb4df60502ca"]},{"id":"ITEM-2","itemData":{"DOI":"ISSN 1728-9246","ISBN":"9788578110796","ISSN":"1098-6596","PMID":"25246403","abstract":"Currently, the world is faced with an unprecedented call for action at a moment in which four countries have been identified as at risk of famine, and demand for humanitarian and resilience assistance is escalating. Against this background, informing the global and national food security community on the risk of food crises and on the severity of such crises is of fundamental importance. In recent years, stakeholders have made major investments to improve food security analysis and related early warning systems in order to prevent and tackle food crises more efficiently. Although significant improvements have been made over time in the methods and technologies used to improve the quality and timeliness of food security assessments and monitoring systems, a comprehensive global pictures of food crises is still often missing. Partial geographical coverage and a lack of comparable data within a standardised system make it difficult to get a full global picture of food crises at any given time. The European Union, WFP and FAO have joined forces to coordinate the compilation of analyses to increase the impact of humanitarian and resilience responses through the preparation of the “Global report on Food Crises”. The Global Report enhances coordination and decision-making through a neutral analysis that informs program planning and implementation. The key objective and strength of the report is to establish a consultative and consensus-based process to compile food insecurity analysis from throughout the world into a global public product to inform annual planning and resource allocation decisions. Technical, operational and financial partners require evidence-based information to ensure appropriate planning and resources to tackle the consequences of food security crises within an evolving humanitarian financing landscape. The World Humanitarian Summit has prompted a major rethink of the way response financing is delivered in crisis settings, highlighting the need for more long-term development investments to address risk, prevent crises and build resilience. Since 2013, the European Commission has worked to develop ways to compare and clarify the results of food security analyses across partners and geographical areas to provide a comprehensive overview of the global food security situation. In 2015, the Joint Research Centre of the European Commission (ECJRC) produced an annual report on food insecurity hotspots to inform decisions on food crisis allocation…","author":[{"dropping-particle":"","family":"FSIN","given":"","non-dropping-particle":"","parse-names":false,"suffix":""}],"container-title":"World Food Programme","id":"ITEM-2","issued":{"date-parts":[["2019"]]},"title":"Global Report on Food Crises 2019","type":"report"},"uris":["http://www.mendeley.com/documents/?uuid=f9be4e4f-6093-43c4-9996-c35cc659ab71"]}],"mendeley":{"formattedCitation":"(FAO, 2019; FSIN, 2019)","plainTextFormattedCitation":"(FAO, 2019; FSIN, 2019)","previouslyFormattedCitation":"(FAO, 2019; FSIN, 2019)"},"properties":{"noteIndex":0},"schema":"https://github.com/citation-style-language/schema/raw/master/csl-citation.json"}</w:instrText>
      </w:r>
      <w:r w:rsidRPr="001C72A7">
        <w:rPr>
          <w:rFonts w:eastAsia="Times New Roman" w:cs="Times New Roman"/>
          <w:sz w:val="22"/>
          <w:szCs w:val="22"/>
          <w:lang w:val="en"/>
        </w:rPr>
        <w:fldChar w:fldCharType="separate"/>
      </w:r>
      <w:r w:rsidRPr="001C72A7">
        <w:rPr>
          <w:rFonts w:eastAsia="Times New Roman" w:cs="Times New Roman"/>
          <w:noProof/>
          <w:sz w:val="22"/>
          <w:szCs w:val="22"/>
          <w:lang w:val="en"/>
        </w:rPr>
        <w:t>(FAO, 2019; FSIN, 2019)</w:t>
      </w:r>
      <w:r w:rsidRPr="001C72A7">
        <w:rPr>
          <w:rFonts w:eastAsia="Times New Roman" w:cs="Times New Roman"/>
          <w:sz w:val="22"/>
          <w:szCs w:val="22"/>
          <w:lang w:val="en"/>
        </w:rPr>
        <w:fldChar w:fldCharType="end"/>
      </w:r>
      <w:r w:rsidRPr="001C72A7">
        <w:rPr>
          <w:rFonts w:eastAsia="Times New Roman" w:cs="Times New Roman"/>
          <w:sz w:val="22"/>
          <w:szCs w:val="22"/>
          <w:highlight w:val="white"/>
          <w:lang w:val="en"/>
        </w:rPr>
        <w:t>. The situation for sub-Saharan Africa, has in fact worsened; the proportion of undernourished people increased from 20.7% in 2014 to 23.2% in 2017.</w:t>
      </w:r>
      <w:r w:rsidRPr="001C72A7">
        <w:rPr>
          <w:rFonts w:eastAsia="Times New Roman" w:cs="Times New Roman"/>
          <w:sz w:val="22"/>
          <w:szCs w:val="22"/>
          <w:lang w:val="en"/>
        </w:rPr>
        <w:t xml:space="preserve"> Reasons connected to this include poor infrastructure, resource constraints, and con</w:t>
      </w:r>
      <w:r w:rsidRPr="001C72A7">
        <w:rPr>
          <w:rFonts w:eastAsia="Times New Roman" w:cs="Times New Roman"/>
          <w:sz w:val="22"/>
          <w:szCs w:val="22"/>
          <w:highlight w:val="white"/>
          <w:lang w:val="en"/>
        </w:rPr>
        <w:t xml:space="preserve">flict </w:t>
      </w:r>
      <w:r w:rsidRPr="001C72A7">
        <w:rPr>
          <w:rFonts w:eastAsia="Times New Roman" w:cs="Times New Roman"/>
          <w:sz w:val="22"/>
          <w:szCs w:val="22"/>
          <w:highlight w:val="white"/>
          <w:lang w:val="en"/>
        </w:rPr>
        <w:fldChar w:fldCharType="begin" w:fldLock="1"/>
      </w:r>
      <w:r w:rsidRPr="001C72A7">
        <w:rPr>
          <w:rFonts w:eastAsia="Times New Roman" w:cs="Times New Roman"/>
          <w:sz w:val="22"/>
          <w:szCs w:val="22"/>
          <w:highlight w:val="white"/>
          <w:lang w:val="en"/>
        </w:rPr>
        <w:instrText>ADDIN CSL_CITATION {"citationItems":[{"id":"ITEM-1","itemData":{"ISBN":"9789251315705","author":[{"dropping-particle":"","family":"FAO","given":"","non-dropping-particle":"","parse-names":false,"suffix":""},{"dropping-particle":"","family":"IFAD","given":"","non-dropping-particle":"","parse-names":false,"suffix":""},{"dropping-particle":"","family":"UNICEF","given":"","non-dropping-particle":"","parse-names":false,"suffix":""},{"dropping-particle":"","family":"WFP","given":"","non-dropping-particle":"","parse-names":false,"suffix":""},{"dropping-particle":"","family":"WHO","given":"","non-dropping-particle":"","parse-names":false,"suffix":""}],"id":"ITEM-1","issued":{"date-parts":[["2019"]]},"publisher":"FOOD &amp; AGRICULTURE ORG","publisher-place":"Rome","title":"The state of food security and nutrition in the world 2019: Safeguarding against economic slowdowns and downturns.","type":"report"},"uris":["http://www.mendeley.com/documents/?uuid=6e0a38e7-727d-3a80-9ca3-9dc126c56d8e"]}],"mendeley":{"formattedCitation":"(FAO &lt;i&gt;et al.&lt;/i&gt;, 2019)","plainTextFormattedCitation":"(FAO et al., 2019)","previouslyFormattedCitation":"(FAO &lt;i&gt;et al.&lt;/i&gt;, 2019)"},"properties":{"noteIndex":0},"schema":"https://github.com/citation-style-language/schema/raw/master/csl-citation.json"}</w:instrText>
      </w:r>
      <w:r w:rsidRPr="001C72A7">
        <w:rPr>
          <w:rFonts w:eastAsia="Times New Roman" w:cs="Times New Roman"/>
          <w:sz w:val="22"/>
          <w:szCs w:val="22"/>
          <w:highlight w:val="white"/>
          <w:lang w:val="en"/>
        </w:rPr>
        <w:fldChar w:fldCharType="separate"/>
      </w:r>
      <w:r w:rsidRPr="001C72A7">
        <w:rPr>
          <w:rFonts w:eastAsia="Times New Roman" w:cs="Times New Roman"/>
          <w:noProof/>
          <w:sz w:val="22"/>
          <w:szCs w:val="22"/>
          <w:highlight w:val="white"/>
          <w:lang w:val="en"/>
        </w:rPr>
        <w:t xml:space="preserve">(FAO </w:t>
      </w:r>
      <w:r w:rsidRPr="001C72A7">
        <w:rPr>
          <w:rFonts w:eastAsia="Times New Roman" w:cs="Times New Roman"/>
          <w:i/>
          <w:noProof/>
          <w:sz w:val="22"/>
          <w:szCs w:val="22"/>
          <w:highlight w:val="white"/>
          <w:lang w:val="en"/>
        </w:rPr>
        <w:t>et al.</w:t>
      </w:r>
      <w:r w:rsidRPr="001C72A7">
        <w:rPr>
          <w:rFonts w:eastAsia="Times New Roman" w:cs="Times New Roman"/>
          <w:noProof/>
          <w:sz w:val="22"/>
          <w:szCs w:val="22"/>
          <w:highlight w:val="white"/>
          <w:lang w:val="en"/>
        </w:rPr>
        <w:t>, 2019)</w:t>
      </w:r>
      <w:r w:rsidRPr="001C72A7">
        <w:rPr>
          <w:rFonts w:eastAsia="Times New Roman" w:cs="Times New Roman"/>
          <w:sz w:val="22"/>
          <w:szCs w:val="22"/>
          <w:highlight w:val="white"/>
          <w:lang w:val="en"/>
        </w:rPr>
        <w:fldChar w:fldCharType="end"/>
      </w:r>
      <w:r w:rsidRPr="001C72A7">
        <w:rPr>
          <w:rFonts w:eastAsia="Times New Roman" w:cs="Times New Roman"/>
          <w:sz w:val="22"/>
          <w:szCs w:val="22"/>
          <w:lang w:val="en"/>
        </w:rPr>
        <w:t>.</w:t>
      </w:r>
    </w:p>
    <w:p w:rsidR="001C72A7" w:rsidRPr="001C72A7" w:rsidRDefault="001C72A7" w:rsidP="001C72A7">
      <w:pPr>
        <w:spacing w:line="360" w:lineRule="auto"/>
        <w:ind w:firstLine="720"/>
        <w:rPr>
          <w:rFonts w:eastAsia="Times New Roman" w:cs="Times New Roman"/>
          <w:sz w:val="22"/>
          <w:szCs w:val="22"/>
          <w:lang w:val="en"/>
        </w:rPr>
      </w:pPr>
    </w:p>
    <w:p w:rsidR="001C72A7" w:rsidRPr="001C72A7" w:rsidRDefault="001C72A7" w:rsidP="001C72A7">
      <w:pPr>
        <w:spacing w:line="360" w:lineRule="auto"/>
        <w:rPr>
          <w:rFonts w:eastAsia="Times New Roman" w:cs="Times New Roman"/>
          <w:i/>
          <w:sz w:val="22"/>
          <w:szCs w:val="22"/>
          <w:highlight w:val="yellow"/>
          <w:lang w:val="en"/>
        </w:rPr>
      </w:pPr>
      <w:r w:rsidRPr="001C72A7">
        <w:rPr>
          <w:rFonts w:eastAsia="Times New Roman" w:cs="Times New Roman"/>
          <w:i/>
          <w:sz w:val="22"/>
          <w:szCs w:val="22"/>
          <w:highlight w:val="white"/>
          <w:lang w:val="en"/>
        </w:rPr>
        <w:t>Pathways to food insecurity and adverse health outcomes for children in sub-Saharan Africa</w:t>
      </w:r>
    </w:p>
    <w:p w:rsidR="001C72A7" w:rsidRPr="001C72A7" w:rsidRDefault="001C72A7" w:rsidP="001C72A7">
      <w:pPr>
        <w:spacing w:line="360" w:lineRule="auto"/>
        <w:rPr>
          <w:rFonts w:eastAsia="Times New Roman" w:cs="Times New Roman"/>
          <w:sz w:val="22"/>
          <w:szCs w:val="22"/>
          <w:highlight w:val="white"/>
          <w:lang w:val="en"/>
        </w:rPr>
      </w:pPr>
      <w:r w:rsidRPr="001C72A7">
        <w:rPr>
          <w:rFonts w:eastAsia="Times New Roman" w:cs="Times New Roman"/>
          <w:sz w:val="22"/>
          <w:szCs w:val="22"/>
          <w:lang w:val="en"/>
        </w:rPr>
        <w:t xml:space="preserve">Several factors contribute to the problem of food insecurity and inimical health outcomes among children in sub-Saharan Africa. To help frame our review of the literature, we focus on three key pathways: </w:t>
      </w:r>
      <w:r w:rsidRPr="001C72A7">
        <w:rPr>
          <w:rFonts w:eastAsia="Times New Roman" w:cs="Times New Roman"/>
          <w:sz w:val="22"/>
          <w:szCs w:val="22"/>
          <w:highlight w:val="white"/>
          <w:lang w:val="en"/>
        </w:rPr>
        <w:t>(i) Nutritional, (ii) Caregiver, and (iii) Contextual/environmental (</w:t>
      </w:r>
      <w:r w:rsidRPr="001C72A7">
        <w:rPr>
          <w:rFonts w:eastAsia="Times New Roman" w:cs="Times New Roman"/>
          <w:sz w:val="22"/>
          <w:szCs w:val="22"/>
          <w:lang w:val="en"/>
        </w:rPr>
        <w:t>see figure Two)</w:t>
      </w:r>
      <w:r w:rsidRPr="001C72A7">
        <w:rPr>
          <w:rFonts w:eastAsia="Times New Roman" w:cs="Times New Roman"/>
          <w:sz w:val="22"/>
          <w:szCs w:val="22"/>
          <w:highlight w:val="white"/>
          <w:lang w:val="en"/>
        </w:rPr>
        <w:t>. This characterization is informed by the Food and Agriculture Organization (FAO), and the previous literature which has attempted to frame child malnutrition using a two pathways model</w:t>
      </w:r>
      <w:r w:rsidRPr="001C72A7">
        <w:rPr>
          <w:rFonts w:eastAsia="Times New Roman" w:cs="Times New Roman"/>
          <w:sz w:val="22"/>
          <w:szCs w:val="22"/>
          <w:highlight w:val="white"/>
          <w:lang w:val="en"/>
        </w:rPr>
        <w:fldChar w:fldCharType="begin" w:fldLock="1"/>
      </w:r>
      <w:r w:rsidRPr="001C72A7">
        <w:rPr>
          <w:rFonts w:eastAsia="Times New Roman" w:cs="Times New Roman"/>
          <w:sz w:val="22"/>
          <w:szCs w:val="22"/>
          <w:highlight w:val="white"/>
          <w:lang w:val="en"/>
        </w:rPr>
        <w:instrText>ADDIN CSL_CITATION {"citationItems":[{"id":"ITEM-1","itemData":{"URL":"https://www.apa.org/pi/ses/resources/indicator/2012/06/household-food-insecurities","accessed":{"date-parts":[["2020","6","13"]]},"author":[{"dropping-particle":"","family":"Black","given":"Maureen","non-dropping-particle":"","parse-names":false,"suffix":""}],"container-title":"American Psychological Association: The SES indicator","id":"ITEM-1","issued":{"date-parts":[["2012"]]},"title":"Household food insecurities: Threats to children’s well-being","type":"webpage"},"uris":["http://www.mendeley.com/documents/?uuid=2564d70b-4333-3abd-87f7-cb7bce50e3cd"]},{"id":"ITEM-2","itemData":{"ISBN":"9789251305713","abstract":"New evidence this year corroborates the rise in world hunger observed in this report last year, sending a warning that more action is needed if we aspire to end world hunger and malnutrition in all its forms by 2030. Updated estimates show the number of people who suffer from hunger has been growing over the past three years, returning to prevailing levels from almost a decade ago. Although progress continues to be made in reducing child stunting, over 22 percent of children under five years of age are still affected. Other forms of malnutrition are also growing: adult obesity continues to increase in countries irrespective of their income levels, and many countries are coping with multiple forms of malnutrition at the same time – overweight and obesity, as well as anaemia in women, and child stunting and wasting. Last year’s report showed that the failure to reduce world hunger is closely associated with the increase in conflict and violence in several parts of the world. In some countries, initial evidence showed climate-related events were also undermining food security and nutrition. This year’s report goes further to show that climate variability and extremes – even without conflict – are key drivers behind the recent rise in global hunger and one of the leading causes of severe food crises and their impact on people’s nutrition and health. Climate variability and exposure to more complex, frequent and intense climate extremes are threatening to erode and reverse gains in ending hunger and malnutrition. Furthermore, hunger is significantly worse in countries where agriculture systems are highly sensitive to rainfall, temperature and severe drought, and where the livelihood of a high proportion of the population depends on agriculture. The findings of this report reveal new challenges to ending hunger, food insecurity and all forms of malnutrition. There is an urgent need to accelerate and scale up actions that strengthen resilience and adaptive capacity of people and their livelihoods to climate variability and extremes. These and other findings are detailed in the 2018 edition of The State of Food Security and Nutrition in the World.","author":[{"dropping-particle":"","family":"FAO","given":"","non-dropping-particle":"","parse-names":false,"suffix":""},{"dropping-particle":"","family":"IFAD","given":"","non-dropping-particle":"","parse-names":false,"suffix":""},{"dropping-particle":"","family":"UNICEF","given":"","non-dropping-particle":"","parse-names":false,"suffix":""},{"dropping-particle":"","family":"WFP","given":"","non-dropping-particle":"","parse-names":false,"suffix":""},{"dropping-particle":"","family":"WHO","given":"","non-dropping-particle":"","parse-names":false,"suffix":""}],"id":"ITEM-2","issued":{"date-parts":[["2018"]]},"title":"The State of Food Security and Nutrition in the World: Building Climate Resilience for Food Security and Nutrition","type":"book"},"uris":["http://www.mendeley.com/documents/?uuid=64f2ff1c-5725-48d1-973f-cb1d677d17ac"]}],"mendeley":{"formattedCitation":"(Black, 2012; FAO &lt;i&gt;et al.&lt;/i&gt;, 2018)","plainTextFormattedCitation":"(Black, 2012; FAO et al., 2018)","previouslyFormattedCitation":"(Black, 2012; FAO &lt;i&gt;et al.&lt;/i&gt;, 2018)"},"properties":{"noteIndex":0},"schema":"https://github.com/citation-style-language/schema/raw/master/csl-citation.json"}</w:instrText>
      </w:r>
      <w:r w:rsidRPr="001C72A7">
        <w:rPr>
          <w:rFonts w:eastAsia="Times New Roman" w:cs="Times New Roman"/>
          <w:sz w:val="22"/>
          <w:szCs w:val="22"/>
          <w:highlight w:val="white"/>
          <w:lang w:val="en"/>
        </w:rPr>
        <w:fldChar w:fldCharType="separate"/>
      </w:r>
      <w:r w:rsidRPr="001C72A7">
        <w:rPr>
          <w:rFonts w:eastAsia="Times New Roman" w:cs="Times New Roman"/>
          <w:noProof/>
          <w:sz w:val="22"/>
          <w:szCs w:val="22"/>
          <w:highlight w:val="white"/>
          <w:lang w:val="en"/>
        </w:rPr>
        <w:t xml:space="preserve">(Black, 2012; FAO </w:t>
      </w:r>
      <w:r w:rsidRPr="001C72A7">
        <w:rPr>
          <w:rFonts w:eastAsia="Times New Roman" w:cs="Times New Roman"/>
          <w:i/>
          <w:noProof/>
          <w:sz w:val="22"/>
          <w:szCs w:val="22"/>
          <w:highlight w:val="white"/>
          <w:lang w:val="en"/>
        </w:rPr>
        <w:t>et al.</w:t>
      </w:r>
      <w:r w:rsidRPr="001C72A7">
        <w:rPr>
          <w:rFonts w:eastAsia="Times New Roman" w:cs="Times New Roman"/>
          <w:noProof/>
          <w:sz w:val="22"/>
          <w:szCs w:val="22"/>
          <w:highlight w:val="white"/>
          <w:lang w:val="en"/>
        </w:rPr>
        <w:t>, 2018)</w:t>
      </w:r>
      <w:r w:rsidRPr="001C72A7">
        <w:rPr>
          <w:rFonts w:eastAsia="Times New Roman" w:cs="Times New Roman"/>
          <w:sz w:val="22"/>
          <w:szCs w:val="22"/>
          <w:highlight w:val="white"/>
          <w:lang w:val="en"/>
        </w:rPr>
        <w:fldChar w:fldCharType="end"/>
      </w:r>
      <w:r w:rsidRPr="001C72A7">
        <w:rPr>
          <w:rFonts w:eastAsia="Times New Roman" w:cs="Times New Roman"/>
          <w:sz w:val="22"/>
          <w:szCs w:val="22"/>
          <w:highlight w:val="white"/>
          <w:lang w:val="en"/>
        </w:rPr>
        <w:t xml:space="preserve">. The FAO model connects inadequate access to food to multiple forms of malnutrition through undernutrition and obesogenic pathways </w:t>
      </w:r>
      <w:r w:rsidRPr="001C72A7">
        <w:rPr>
          <w:rFonts w:eastAsia="Times New Roman" w:cs="Times New Roman"/>
          <w:sz w:val="22"/>
          <w:szCs w:val="22"/>
          <w:highlight w:val="white"/>
          <w:lang w:val="en"/>
        </w:rPr>
        <w:fldChar w:fldCharType="begin" w:fldLock="1"/>
      </w:r>
      <w:r w:rsidRPr="001C72A7">
        <w:rPr>
          <w:rFonts w:eastAsia="Times New Roman" w:cs="Times New Roman"/>
          <w:sz w:val="22"/>
          <w:szCs w:val="22"/>
          <w:highlight w:val="white"/>
          <w:lang w:val="en"/>
        </w:rPr>
        <w:instrText>ADDIN CSL_CITATION {"citationItems":[{"id":"ITEM-1","itemData":{"ISBN":"9789251305713","abstract":"New evidence this year corroborates the rise in world hunger observed in this report last year, sending a warning that more action is needed if we aspire to end world hunger and malnutrition in all its forms by 2030. Updated estimates show the number of people who suffer from hunger has been growing over the past three years, returning to prevailing levels from almost a decade ago. Although progress continues to be made in reducing child stunting, over 22 percent of children under five years of age are still affected. Other forms of malnutrition are also growing: adult obesity continues to increase in countries irrespective of their income levels, and many countries are coping with multiple forms of malnutrition at the same time – overweight and obesity, as well as anaemia in women, and child stunting and wasting. Last year’s report showed that the failure to reduce world hunger is closely associated with the increase in conflict and violence in several parts of the world. In some countries, initial evidence showed climate-related events were also undermining food security and nutrition. This year’s report goes further to show that climate variability and extremes – even without conflict – are key drivers behind the recent rise in global hunger and one of the leading causes of severe food crises and their impact on people’s nutrition and health. Climate variability and exposure to more complex, frequent and intense climate extremes are threatening to erode and reverse gains in ending hunger and malnutrition. Furthermore, hunger is significantly worse in countries where agriculture systems are highly sensitive to rainfall, temperature and severe drought, and where the livelihood of a high proportion of the population depends on agriculture. The findings of this report reveal new challenges to ending hunger, food insecurity and all forms of malnutrition. There is an urgent need to accelerate and scale up actions that strengthen resilience and adaptive capacity of people and their livelihoods to climate variability and extremes. These and other findings are detailed in the 2018 edition of The State of Food Security and Nutrition in the World.","author":[{"dropping-particle":"","family":"FAO","given":"","non-dropping-particle":"","parse-names":false,"suffix":""},{"dropping-particle":"","family":"IFAD","given":"","non-dropping-particle":"","parse-names":false,"suffix":""},{"dropping-particle":"","family":"UNICEF","given":"","non-dropping-particle":"","parse-names":false,"suffix":""},{"dropping-particle":"","family":"WFP","given":"","non-dropping-particle":"","parse-names":false,"suffix":""},{"dropping-particle":"","family":"WHO","given":"","non-dropping-particle":"","parse-names":false,"suffix":""}],"id":"ITEM-1","issued":{"date-parts":[["2018"]]},"title":"The State of Food Security and Nutrition in the World: Building Climate Resilience for Food Security and Nutrition","type":"book"},"uris":["http://www.mendeley.com/documents/?uuid=64f2ff1c-5725-48d1-973f-cb1d677d17ac"]}],"mendeley":{"formattedCitation":"(FAO &lt;i&gt;et al.&lt;/i&gt;, 2018)","plainTextFormattedCitation":"(FAO et al., 2018)","previouslyFormattedCitation":"(FAO &lt;i&gt;et al.&lt;/i&gt;, 2018)"},"properties":{"noteIndex":0},"schema":"https://github.com/citation-style-language/schema/raw/master/csl-citation.json"}</w:instrText>
      </w:r>
      <w:r w:rsidRPr="001C72A7">
        <w:rPr>
          <w:rFonts w:eastAsia="Times New Roman" w:cs="Times New Roman"/>
          <w:sz w:val="22"/>
          <w:szCs w:val="22"/>
          <w:highlight w:val="white"/>
          <w:lang w:val="en"/>
        </w:rPr>
        <w:fldChar w:fldCharType="separate"/>
      </w:r>
      <w:r w:rsidRPr="001C72A7">
        <w:rPr>
          <w:rFonts w:eastAsia="Times New Roman" w:cs="Times New Roman"/>
          <w:noProof/>
          <w:sz w:val="22"/>
          <w:szCs w:val="22"/>
          <w:highlight w:val="white"/>
          <w:lang w:val="en"/>
        </w:rPr>
        <w:t xml:space="preserve">(FAO </w:t>
      </w:r>
      <w:r w:rsidRPr="001C72A7">
        <w:rPr>
          <w:rFonts w:eastAsia="Times New Roman" w:cs="Times New Roman"/>
          <w:i/>
          <w:noProof/>
          <w:sz w:val="22"/>
          <w:szCs w:val="22"/>
          <w:highlight w:val="white"/>
          <w:lang w:val="en"/>
        </w:rPr>
        <w:t>et al.</w:t>
      </w:r>
      <w:r w:rsidRPr="001C72A7">
        <w:rPr>
          <w:rFonts w:eastAsia="Times New Roman" w:cs="Times New Roman"/>
          <w:noProof/>
          <w:sz w:val="22"/>
          <w:szCs w:val="22"/>
          <w:highlight w:val="white"/>
          <w:lang w:val="en"/>
        </w:rPr>
        <w:t>, 2018)</w:t>
      </w:r>
      <w:r w:rsidRPr="001C72A7">
        <w:rPr>
          <w:rFonts w:eastAsia="Times New Roman" w:cs="Times New Roman"/>
          <w:sz w:val="22"/>
          <w:szCs w:val="22"/>
          <w:highlight w:val="white"/>
          <w:lang w:val="en"/>
        </w:rPr>
        <w:fldChar w:fldCharType="end"/>
      </w:r>
      <w:r w:rsidRPr="001C72A7">
        <w:rPr>
          <w:rFonts w:eastAsia="Times New Roman" w:cs="Times New Roman"/>
          <w:sz w:val="22"/>
          <w:szCs w:val="22"/>
          <w:highlight w:val="white"/>
          <w:lang w:val="en"/>
        </w:rPr>
        <w:t xml:space="preserve">. Another explication adds a caregiver factor to the nutritional pathway </w:t>
      </w:r>
      <w:r w:rsidRPr="001C72A7">
        <w:rPr>
          <w:rFonts w:eastAsia="Times New Roman" w:cs="Times New Roman"/>
          <w:sz w:val="22"/>
          <w:szCs w:val="22"/>
          <w:highlight w:val="white"/>
          <w:lang w:val="en"/>
        </w:rPr>
        <w:fldChar w:fldCharType="begin" w:fldLock="1"/>
      </w:r>
      <w:r w:rsidRPr="001C72A7">
        <w:rPr>
          <w:rFonts w:eastAsia="Times New Roman" w:cs="Times New Roman"/>
          <w:sz w:val="22"/>
          <w:szCs w:val="22"/>
          <w:highlight w:val="white"/>
          <w:lang w:val="en"/>
        </w:rPr>
        <w:instrText>ADDIN CSL_CITATION {"citationItems":[{"id":"ITEM-1","itemData":{"URL":"https://www.apa.org/pi/ses/resources/indicator/2012/06/household-food-insecurities","accessed":{"date-parts":[["2020","6","13"]]},"author":[{"dropping-particle":"","family":"Black","given":"Maureen","non-dropping-particle":"","parse-names":false,"suffix":""}],"container-title":"American Psychological Association: The SES indicator","id":"ITEM-1","issued":{"date-parts":[["2012"]]},"title":"Household food insecurities: Threats to children’s well-being","type":"webpage"},"uris":["http://www.mendeley.com/documents/?uuid=2564d70b-4333-3abd-87f7-cb7bce50e3cd"]}],"mendeley":{"formattedCitation":"(Black, 2012)","plainTextFormattedCitation":"(Black, 2012)","previouslyFormattedCitation":"(Black, 2012)"},"properties":{"noteIndex":0},"schema":"https://github.com/citation-style-language/schema/raw/master/csl-citation.json"}</w:instrText>
      </w:r>
      <w:r w:rsidRPr="001C72A7">
        <w:rPr>
          <w:rFonts w:eastAsia="Times New Roman" w:cs="Times New Roman"/>
          <w:sz w:val="22"/>
          <w:szCs w:val="22"/>
          <w:highlight w:val="white"/>
          <w:lang w:val="en"/>
        </w:rPr>
        <w:fldChar w:fldCharType="separate"/>
      </w:r>
      <w:r w:rsidRPr="001C72A7">
        <w:rPr>
          <w:rFonts w:eastAsia="Times New Roman" w:cs="Times New Roman"/>
          <w:noProof/>
          <w:sz w:val="22"/>
          <w:szCs w:val="22"/>
          <w:highlight w:val="white"/>
          <w:lang w:val="en"/>
        </w:rPr>
        <w:t>(Black, 2012)</w:t>
      </w:r>
      <w:r w:rsidRPr="001C72A7">
        <w:rPr>
          <w:rFonts w:eastAsia="Times New Roman" w:cs="Times New Roman"/>
          <w:sz w:val="22"/>
          <w:szCs w:val="22"/>
          <w:highlight w:val="white"/>
          <w:lang w:val="en"/>
        </w:rPr>
        <w:fldChar w:fldCharType="end"/>
      </w:r>
      <w:r w:rsidRPr="001C72A7">
        <w:rPr>
          <w:rFonts w:eastAsia="Times New Roman" w:cs="Times New Roman"/>
          <w:sz w:val="22"/>
          <w:szCs w:val="22"/>
          <w:highlight w:val="white"/>
          <w:lang w:val="en"/>
        </w:rPr>
        <w:t>. Our adaptation includes the nutrition, caregiver, and contextual/environmental factors. This conceptualization is premised on the assumption that the frame of reference within which food insecurity and malnutrition occurs matters; it shapes and impacts experiences of food insecurity and health outcomes. We posit that collectively, these pathways influence household food security, child food security and may negatively/positively impact health outcomes.</w:t>
      </w:r>
    </w:p>
    <w:p w:rsidR="001C72A7" w:rsidRPr="001C72A7" w:rsidRDefault="001C72A7" w:rsidP="001C72A7">
      <w:pPr>
        <w:spacing w:line="240" w:lineRule="auto"/>
        <w:rPr>
          <w:rFonts w:eastAsia="Times New Roman" w:cs="Times New Roman"/>
          <w:sz w:val="22"/>
          <w:szCs w:val="22"/>
          <w:highlight w:val="white"/>
          <w:lang w:val="en"/>
        </w:rPr>
      </w:pPr>
    </w:p>
    <w:p w:rsidR="001C72A7" w:rsidRPr="001C72A7" w:rsidRDefault="001C72A7" w:rsidP="001C72A7">
      <w:pPr>
        <w:spacing w:line="360" w:lineRule="auto"/>
        <w:rPr>
          <w:rFonts w:eastAsia="Times New Roman" w:cs="Times New Roman"/>
          <w:sz w:val="22"/>
          <w:szCs w:val="22"/>
          <w:highlight w:val="white"/>
          <w:lang w:val="en"/>
        </w:rPr>
      </w:pPr>
      <w:r w:rsidRPr="001C72A7">
        <w:rPr>
          <w:rFonts w:eastAsia="Times New Roman" w:cs="Times New Roman"/>
          <w:b/>
          <w:sz w:val="22"/>
          <w:szCs w:val="22"/>
          <w:highlight w:val="white"/>
          <w:lang w:val="en"/>
        </w:rPr>
        <w:t xml:space="preserve">Nutritional Pathway.  </w:t>
      </w:r>
      <w:r w:rsidRPr="001C72A7">
        <w:rPr>
          <w:rFonts w:eastAsia="Times New Roman" w:cs="Times New Roman"/>
          <w:sz w:val="22"/>
          <w:szCs w:val="22"/>
          <w:highlight w:val="white"/>
          <w:lang w:val="en"/>
        </w:rPr>
        <w:t xml:space="preserve">Nutritional pathway is defined by deficits in the quantity and quality of food. Research has acknowledged the complexity of the link between poor access to adequate food and malnutrition. Multiple passages connect child malnutrition to inadequate access to healthy food, insufficient breastfeeding, and inadequate complementary foods providing protein and nutrients </w:t>
      </w:r>
      <w:r w:rsidRPr="001C72A7">
        <w:rPr>
          <w:rFonts w:eastAsia="Times New Roman" w:cs="Times New Roman"/>
          <w:sz w:val="22"/>
          <w:szCs w:val="22"/>
          <w:highlight w:val="white"/>
          <w:lang w:val="en"/>
        </w:rPr>
        <w:fldChar w:fldCharType="begin" w:fldLock="1"/>
      </w:r>
      <w:r w:rsidRPr="001C72A7">
        <w:rPr>
          <w:rFonts w:eastAsia="Times New Roman" w:cs="Times New Roman"/>
          <w:sz w:val="22"/>
          <w:szCs w:val="22"/>
          <w:highlight w:val="white"/>
          <w:lang w:val="en"/>
        </w:rPr>
        <w:instrText>ADDIN CSL_CITATION {"citationItems":[{"id":"ITEM-1","itemData":{"DOI":"10.1016/S0140-6736(13)60996-4","ISSN":"1474547X","abstract":"Maternal undernutrition contributes to 800000 neonatal deaths annually through small for gestational age births; stunting, wasting, and micronutrient deficiencies are estimated to underlie nearly 3·1 million child deaths annually. Progress has been made with many interventions implemented at scale and the evidence for effectiveness of nutrition interventions and delivery strategies has grown since The Lancet Series on Maternal and Child Undernutrition in 2008. We did a comprehensive update of interventions to address undernutrition and micronutrient deficiencies in women and children and used standard methods to assess emerging new evidence for delivery platforms. We modelled the effect on lives saved and cost of these interventions in the 34 countries that have 90% of the world's children with stunted growth. We also examined the effect of various delivery platforms and delivery options using community health workers to engage poor populations and promote behaviour change, access and uptake of interventions. Our analysis suggests the current total of deaths in children younger than 5 years can be reduced by 15% if populations can access ten evidence-based nutrition interventions at 90% coverage. Additionally, access to and uptake of iodised salt can alleviate iodine deficiency and improve health outcomes. Accelerated gains are possible and about a fifth of the existing burden of stunting can be averted using these approaches, if access is improved in this way. The estimated total additional annual cost involved for scaling up access to these ten direct nutrition interventions in the 34 focus countries is Int$9·6 billion per year. Continued investments in nutrition-specific interventions to avert maternal and child undernutrition and micronutrient deficiencies through community engagement and delivery strategies that can reach poor segments of the population at greatest risk can make a great difference. If this improved access is linked to nutrition-sensitive approaches - ie, women's empowerment, agriculture, food systems, education, employment, social protection, and safety nets - they can greatly accelerate progress in countries with the highest burden of maternal and child undernutrition and mortality. © 2013 Elsevier Ltd.","author":[{"dropping-particle":"","family":"Bhutta","given":"Zulfiqar A.","non-dropping-particle":"","parse-names":false,"suffix":""},{"dropping-particle":"","family":"Das","given":"Jai K.","non-dropping-particle":"","parse-names":false,"suffix":""},{"dropping-particle":"","family":"Rizvi","given":"Arjumand","non-dropping-particle":"","parse-names":false,"suffix":""},{"dropping-particle":"","family":"Gaffey","given":"Michelle F.","non-dropping-particle":"","parse-names":false,"suffix":""},{"dropping-particle":"","family":"Walker","given":"Neff","non-dropping-particle":"","parse-names":false,"suffix":""},{"dropping-particle":"","family":"Horton","given":"Susan","non-dropping-particle":"","parse-names":false,"suffix":""},{"dropping-particle":"","family":"Webb","given":"Patrick","non-dropping-particle":"","parse-names":false,"suffix":""},{"dropping-particle":"","family":"Lartey","given":"Anna","non-dropping-particle":"","parse-names":false,"suffix":""},{"dropping-particle":"","family":"Black","given":"Robert E.","non-dropping-particle":"","parse-names":false,"suffix":""}],"container-title":"The Lancet","id":"ITEM-1","issue":"9890","issued":{"date-parts":[["2013"]]},"page":"452-477","title":"Evidence-based interventions for improvement of maternal and child nutrition: What can be done and at what cost?","type":"article-journal","volume":"382"},"uris":["http://www.mendeley.com/documents/?uuid=f781a81a-62b2-4c1e-b983-bb3a7ff1b55d"]},{"id":"ITEM-2","itemData":{"DOI":"10.1017/S1368980015001913","ISBN":"1368980015001","ISSN":"14752727","abstract":"OBJECTIVE: To investigate the predictors of wasting, stunting and low mid-upper arm circumference among children aged 6-59 months in Somalia using data from household cross-sectional surveys from 2007 to 2010 in order to help inform better targeting of nutritional interventions. DESIGN: Cross-sectional nutritional assessment surveys using structured interviews were conducted among communities in Somalia each year from 2007 to 2010. A two-stage cluster sampling methodology was used to select children aged 6-59 months from households across three livelihood zones (pastoral, agro-pastoral and riverine). Predictors of three anthropometric measures, weight-for-height (wasting), height-for-age (stunting) and mid-upper arm circumference, were analysed using Bayesian binomial regression, controlling for both spatial and temporal dependence in the data. SETTING: The study was conducted in randomly sampled villages, representative of three livelihood zones in Somalia. SUBJECTS: Children between the ages of 6 and 59 months in Somalia. RESULTS: The estimated national prevalence of wasting, stunting and low mid-upper arm circumference in children aged 6-59 months was 21 %, 31 % and 36 %, respectively. Although fever, diarrhoea, sex and age of the child, household size and access to foods were significant predictors of malnutrition, the strongest association was observed between all three indicators of malnutrition and the enhanced vegetation index. A 1-unit increase in enhanced vegetation index was associated with a 38 %, 49 % and 59 % reduction in wasting, stunting and low mid-upper arm circumference, respectively. CONCLUSIONS: Infection and climatic variations are likely to be key drivers of malnutrition in Somalia. Better health data and close monitoring and forecasting of droughts may provide valuable information for nutritional intervention planning in Somalia.","author":[{"dropping-particle":"","family":"Kinyoki","given":"Damaris K.","non-dropping-particle":"","parse-names":false,"suffix":""},{"dropping-particle":"","family":"Berkley","given":"James A.","non-dropping-particle":"","parse-names":false,"suffix":""},{"dropping-particle":"","family":"Moloney","given":"Grainne M.","non-dropping-particle":"","parse-names":false,"suffix":""},{"dropping-particle":"","family":"Kandala","given":"Ngianga Bakwin","non-dropping-particle":"","parse-names":false,"suffix":""},{"dropping-particle":"","family":"Noor","given":"Abdisalan M.","non-dropping-particle":"","parse-names":false,"suffix":""}],"container-title":"Public Health Nutrition","id":"ITEM-2","issue":"17","issued":{"date-parts":[["2015"]]},"page":"3125-3133","title":"Predictors of the risk of malnutrition among children under the age of 5 years in Somalia","type":"article-journal","volume":"18"},"uris":["http://www.mendeley.com/documents/?uuid=4f76f268-1df8-4709-ac41-80da9f2c2d2d"]},{"id":"ITEM-3","itemData":{"DOI":"10.1007/s10995-015-1881-0","ISSN":"15736628","abstract":"© 2015, Springer Science+Business Media New York.Objectives The literature exploring the relationship between food insecurity and obesity for preschool-aged children is inconclusive and suffers from inconsistent measurement. This paper explores the relationships between concurrent household and child food insecurity and child overweight as well as differences in these relationships by child gender using a sample of 2–5 year old children. Methods Using measured height and weight and responses to the Household Food Security Survey Module collected from a sample of 438 preschool-aged children (mean age 39 months) and their mothers, logistic regression models were fit to estimate the relationship between household and child food insecurity and child BMI. Separate models were fit for girls and boys. Results Twenty-seven percent of children from food insecure households and 25 % of child food insecure children were overweight or obese (BMI ≥ 85 %). There were no statistically significant associations between either household or child food insecurity and BMI for the full sample. For girls, but not boys, household food insecurity was associated with BMI z-scores (β = 0.23, p = 0.01). Conclusions Although food insecurity and overweight were not significantly associated, a noteworthy proportion of food insecure children were overweight or obese. Programs for young children should address food insecurity and obesity simultaneously by ensuring that young children have regular access to nutrient-dense foods.","author":[{"dropping-particle":"","family":"Speirs","given":"Katherine E.","non-dropping-particle":"","parse-names":false,"suffix":""},{"dropping-particle":"","family":"Fiese","given":"Barbara H.","non-dropping-particle":"","parse-names":false,"suffix":""},{"dropping-particle":"","family":"STRONG Kids Research Team","given":"","non-dropping-particle":"","parse-names":false,"suffix":""}],"container-title":"Maternal and Child Health Journal","id":"ITEM-3","issue":"4","issued":{"date-parts":[["2016"]]},"page":"925-933","publisher":"Springer US","title":"The Relationship Between Food Insecurity and BMI for Preschool Children","type":"article-journal","volume":"20"},"uris":["http://www.mendeley.com/documents/?uuid=f36b5d3e-7ae6-49d6-8dc0-7e07fed88a19"]}],"mendeley":{"formattedCitation":"(Bhutta &lt;i&gt;et al.&lt;/i&gt;, 2013; Kinyoki &lt;i&gt;et al.&lt;/i&gt;, 2015; Speirs, Fiese and STRONG Kids Research Team, 2016)","plainTextFormattedCitation":"(Bhutta et al., 2013; Kinyoki et al., 2015; Speirs, Fiese and STRONG Kids Research Team, 2016)","previouslyFormattedCitation":"(Bhutta &lt;i&gt;et al.&lt;/i&gt;, 2013; Kinyoki &lt;i&gt;et al.&lt;/i&gt;, 2015; Speirs, Fiese and STRONG Kids Research Team, 2016)"},"properties":{"noteIndex":0},"schema":"https://github.com/citation-style-language/schema/raw/master/csl-citation.json"}</w:instrText>
      </w:r>
      <w:r w:rsidRPr="001C72A7">
        <w:rPr>
          <w:rFonts w:eastAsia="Times New Roman" w:cs="Times New Roman"/>
          <w:sz w:val="22"/>
          <w:szCs w:val="22"/>
          <w:highlight w:val="white"/>
          <w:lang w:val="en"/>
        </w:rPr>
        <w:fldChar w:fldCharType="separate"/>
      </w:r>
      <w:r w:rsidRPr="001C72A7">
        <w:rPr>
          <w:rFonts w:eastAsia="Times New Roman" w:cs="Times New Roman"/>
          <w:noProof/>
          <w:sz w:val="22"/>
          <w:szCs w:val="22"/>
          <w:highlight w:val="white"/>
          <w:lang w:val="en"/>
        </w:rPr>
        <w:t xml:space="preserve">(Bhutta </w:t>
      </w:r>
      <w:r w:rsidRPr="001C72A7">
        <w:rPr>
          <w:rFonts w:eastAsia="Times New Roman" w:cs="Times New Roman"/>
          <w:i/>
          <w:noProof/>
          <w:sz w:val="22"/>
          <w:szCs w:val="22"/>
          <w:highlight w:val="white"/>
          <w:lang w:val="en"/>
        </w:rPr>
        <w:t>et al.</w:t>
      </w:r>
      <w:r w:rsidRPr="001C72A7">
        <w:rPr>
          <w:rFonts w:eastAsia="Times New Roman" w:cs="Times New Roman"/>
          <w:noProof/>
          <w:sz w:val="22"/>
          <w:szCs w:val="22"/>
          <w:highlight w:val="white"/>
          <w:lang w:val="en"/>
        </w:rPr>
        <w:t xml:space="preserve">, 2013; Kinyoki </w:t>
      </w:r>
      <w:r w:rsidRPr="001C72A7">
        <w:rPr>
          <w:rFonts w:eastAsia="Times New Roman" w:cs="Times New Roman"/>
          <w:i/>
          <w:noProof/>
          <w:sz w:val="22"/>
          <w:szCs w:val="22"/>
          <w:highlight w:val="white"/>
          <w:lang w:val="en"/>
        </w:rPr>
        <w:t>et al.</w:t>
      </w:r>
      <w:r w:rsidRPr="001C72A7">
        <w:rPr>
          <w:rFonts w:eastAsia="Times New Roman" w:cs="Times New Roman"/>
          <w:noProof/>
          <w:sz w:val="22"/>
          <w:szCs w:val="22"/>
          <w:highlight w:val="white"/>
          <w:lang w:val="en"/>
        </w:rPr>
        <w:t>, 2015; Speirs, Fiese and STRONG Kids Research Team, 2016)</w:t>
      </w:r>
      <w:r w:rsidRPr="001C72A7">
        <w:rPr>
          <w:rFonts w:eastAsia="Times New Roman" w:cs="Times New Roman"/>
          <w:sz w:val="22"/>
          <w:szCs w:val="22"/>
          <w:highlight w:val="white"/>
          <w:lang w:val="en"/>
        </w:rPr>
        <w:fldChar w:fldCharType="end"/>
      </w:r>
      <w:r w:rsidRPr="001C72A7">
        <w:rPr>
          <w:rFonts w:eastAsia="Times New Roman" w:cs="Times New Roman"/>
          <w:sz w:val="22"/>
          <w:szCs w:val="22"/>
          <w:highlight w:val="white"/>
          <w:lang w:val="en"/>
        </w:rPr>
        <w:t xml:space="preserve">. Access to food, or the lack thereof, has been highlighted as the primary driver of child malnutrition mainly because it symbolizes anxiety and uncertainty about the availability of food as well as insufficient food intake </w:t>
      </w:r>
      <w:r w:rsidRPr="001C72A7">
        <w:rPr>
          <w:rFonts w:eastAsia="Times New Roman" w:cs="Times New Roman"/>
          <w:sz w:val="22"/>
          <w:szCs w:val="22"/>
          <w:highlight w:val="white"/>
          <w:lang w:val="en"/>
        </w:rPr>
        <w:fldChar w:fldCharType="begin" w:fldLock="1"/>
      </w:r>
      <w:r w:rsidRPr="001C72A7">
        <w:rPr>
          <w:rFonts w:eastAsia="Times New Roman" w:cs="Times New Roman"/>
          <w:sz w:val="22"/>
          <w:szCs w:val="22"/>
          <w:highlight w:val="white"/>
          <w:lang w:val="en"/>
        </w:rPr>
        <w:instrText>ADDIN CSL_CITATION {"citationItems":[{"id":"ITEM-1","itemData":{"DOI":"10.1017/S1368980015001913","ISBN":"1368980015001","ISSN":"14752727","abstract":"OBJECTIVE: To investigate the predictors of wasting, stunting and low mid-upper arm circumference among children aged 6-59 months in Somalia using data from household cross-sectional surveys from 2007 to 2010 in order to help inform better targeting of nutritional interventions. DESIGN: Cross-sectional nutritional assessment surveys using structured interviews were conducted among communities in Somalia each year from 2007 to 2010. A two-stage cluster sampling methodology was used to select children aged 6-59 months from households across three livelihood zones (pastoral, agro-pastoral and riverine). Predictors of three anthropometric measures, weight-for-height (wasting), height-for-age (stunting) and mid-upper arm circumference, were analysed using Bayesian binomial regression, controlling for both spatial and temporal dependence in the data. SETTING: The study was conducted in randomly sampled villages, representative of three livelihood zones in Somalia. SUBJECTS: Children between the ages of 6 and 59 months in Somalia. RESULTS: The estimated national prevalence of wasting, stunting and low mid-upper arm circumference in children aged 6-59 months was 21 %, 31 % and 36 %, respectively. Although fever, diarrhoea, sex and age of the child, household size and access to foods were significant predictors of malnutrition, the strongest association was observed between all three indicators of malnutrition and the enhanced vegetation index. A 1-unit increase in enhanced vegetation index was associated with a 38 %, 49 % and 59 % reduction in wasting, stunting and low mid-upper arm circumference, respectively. CONCLUSIONS: Infection and climatic variations are likely to be key drivers of malnutrition in Somalia. Better health data and close monitoring and forecasting of droughts may provide valuable information for nutritional intervention planning in Somalia.","author":[{"dropping-particle":"","family":"Kinyoki","given":"Damaris K.","non-dropping-particle":"","parse-names":false,"suffix":""},{"dropping-particle":"","family":"Berkley","given":"James A.","non-dropping-particle":"","parse-names":false,"suffix":""},{"dropping-particle":"","family":"Moloney","given":"Grainne M.","non-dropping-particle":"","parse-names":false,"suffix":""},{"dropping-particle":"","family":"Kandala","given":"Ngianga Bakwin","non-dropping-particle":"","parse-names":false,"suffix":""},{"dropping-particle":"","family":"Noor","given":"Abdisalan M.","non-dropping-particle":"","parse-names":false,"suffix":""}],"container-title":"Public Health Nutrition","id":"ITEM-1","issue":"17","issued":{"date-parts":[["2015"]]},"page":"3125-3133","title":"Predictors of the risk of malnutrition among children under the age of 5 years in Somalia","type":"article-journal","volume":"18"},"uris":["http://www.mendeley.com/documents/?uuid=4f76f268-1df8-4709-ac41-80da9f2c2d2d"]}],"mendeley":{"formattedCitation":"(Kinyoki &lt;i&gt;et al.&lt;/i&gt;, 2015)","plainTextFormattedCitation":"(Kinyoki et al., 2015)","previouslyFormattedCitation":"(Kinyoki &lt;i&gt;et al.&lt;/i&gt;, 2015)"},"properties":{"noteIndex":0},"schema":"https://github.com/citation-style-language/schema/raw/master/csl-citation.json"}</w:instrText>
      </w:r>
      <w:r w:rsidRPr="001C72A7">
        <w:rPr>
          <w:rFonts w:eastAsia="Times New Roman" w:cs="Times New Roman"/>
          <w:sz w:val="22"/>
          <w:szCs w:val="22"/>
          <w:highlight w:val="white"/>
          <w:lang w:val="en"/>
        </w:rPr>
        <w:fldChar w:fldCharType="separate"/>
      </w:r>
      <w:r w:rsidRPr="001C72A7">
        <w:rPr>
          <w:rFonts w:eastAsia="Times New Roman" w:cs="Times New Roman"/>
          <w:noProof/>
          <w:sz w:val="22"/>
          <w:szCs w:val="22"/>
          <w:highlight w:val="white"/>
          <w:lang w:val="en"/>
        </w:rPr>
        <w:t xml:space="preserve">(Kinyoki </w:t>
      </w:r>
      <w:r w:rsidRPr="001C72A7">
        <w:rPr>
          <w:rFonts w:eastAsia="Times New Roman" w:cs="Times New Roman"/>
          <w:i/>
          <w:noProof/>
          <w:sz w:val="22"/>
          <w:szCs w:val="22"/>
          <w:highlight w:val="white"/>
          <w:lang w:val="en"/>
        </w:rPr>
        <w:t>et al.</w:t>
      </w:r>
      <w:r w:rsidRPr="001C72A7">
        <w:rPr>
          <w:rFonts w:eastAsia="Times New Roman" w:cs="Times New Roman"/>
          <w:noProof/>
          <w:sz w:val="22"/>
          <w:szCs w:val="22"/>
          <w:highlight w:val="white"/>
          <w:lang w:val="en"/>
        </w:rPr>
        <w:t>, 2015)</w:t>
      </w:r>
      <w:r w:rsidRPr="001C72A7">
        <w:rPr>
          <w:rFonts w:eastAsia="Times New Roman" w:cs="Times New Roman"/>
          <w:sz w:val="22"/>
          <w:szCs w:val="22"/>
          <w:highlight w:val="white"/>
          <w:lang w:val="en"/>
        </w:rPr>
        <w:fldChar w:fldCharType="end"/>
      </w:r>
      <w:r w:rsidRPr="001C72A7">
        <w:rPr>
          <w:rFonts w:eastAsia="Times New Roman" w:cs="Times New Roman"/>
          <w:sz w:val="22"/>
          <w:szCs w:val="22"/>
          <w:highlight w:val="white"/>
          <w:lang w:val="en"/>
        </w:rPr>
        <w:t xml:space="preserve">. Another conduit of child malnutrition is micronutrient (vitamin and mineral) deficiencies, referred to as hidden hunger </w:t>
      </w:r>
      <w:r w:rsidRPr="001C72A7">
        <w:rPr>
          <w:rFonts w:eastAsia="Times New Roman" w:cs="Times New Roman"/>
          <w:sz w:val="22"/>
          <w:szCs w:val="22"/>
          <w:highlight w:val="white"/>
          <w:lang w:val="en"/>
        </w:rPr>
        <w:fldChar w:fldCharType="begin" w:fldLock="1"/>
      </w:r>
      <w:r w:rsidRPr="001C72A7">
        <w:rPr>
          <w:rFonts w:eastAsia="Times New Roman" w:cs="Times New Roman"/>
          <w:sz w:val="22"/>
          <w:szCs w:val="22"/>
          <w:highlight w:val="white"/>
          <w:lang w:val="en"/>
        </w:rPr>
        <w:instrText>ADDIN CSL_CITATION {"citationItems":[{"id":"ITEM-1","itemData":{"DOI":"10.1016/j.gfs.2018.03.004","ISSN":"22119124","abstract":"Eradicating hunger in all its forms, including chronic and hidden hunger, requires good understanding of the problem's magnitude, trends, and determinants. Existing studies measure “hunger” through proxies that all have shortcomings. We use a more comprehensive metric, Disability-Adjusted Life Years (DALYs), to quantify the burden of hunger and show related trends. While the burden of chronic hunger more than halved since 1990, it remains larger than the burden of hidden hunger. Cross-country regressions show that economic growth was a major determinant of reducing the hunger burden. However, growth and other country-level determinants have larger effects on the burden of chronic hunger than on the burden of hidden hunger. Complementary micro-level interventions are required to end hunger in all its forms.","author":[{"dropping-particle":"","family":"Gödecke","given":"Theda","non-dropping-particle":"","parse-names":false,"suffix":""},{"dropping-particle":"","family":"Stein","given":"Alexander J.","non-dropping-particle":"","parse-names":false,"suffix":""},{"dropping-particle":"","family":"Qaim","given":"Matin","non-dropping-particle":"","parse-names":false,"suffix":""}],"container-title":"Global Food Security","id":"ITEM-1","issue":"March","issued":{"date-parts":[["2018"]]},"page":"21-29","publisher":"Elsevier B.V.","title":"The global burden of chronic and hidden hunger: Trends and determinants","type":"article-journal","volume":"17"},"uris":["http://www.mendeley.com/documents/?uuid=2e93bf57-0966-4388-897c-093683045296"]}],"mendeley":{"formattedCitation":"(Gödecke, Stein and Qaim, 2018)","plainTextFormattedCitation":"(Gödecke, Stein and Qaim, 2018)","previouslyFormattedCitation":"(Gödecke, Stein and Qaim, 2018)"},"properties":{"noteIndex":0},"schema":"https://github.com/citation-style-language/schema/raw/master/csl-citation.json"}</w:instrText>
      </w:r>
      <w:r w:rsidRPr="001C72A7">
        <w:rPr>
          <w:rFonts w:eastAsia="Times New Roman" w:cs="Times New Roman"/>
          <w:sz w:val="22"/>
          <w:szCs w:val="22"/>
          <w:highlight w:val="white"/>
          <w:lang w:val="en"/>
        </w:rPr>
        <w:fldChar w:fldCharType="separate"/>
      </w:r>
      <w:r w:rsidRPr="001C72A7">
        <w:rPr>
          <w:rFonts w:eastAsia="Times New Roman" w:cs="Times New Roman"/>
          <w:noProof/>
          <w:sz w:val="22"/>
          <w:szCs w:val="22"/>
          <w:highlight w:val="white"/>
          <w:lang w:val="en"/>
        </w:rPr>
        <w:t>(Gödecke, Stein and Qaim, 2018)</w:t>
      </w:r>
      <w:r w:rsidRPr="001C72A7">
        <w:rPr>
          <w:rFonts w:eastAsia="Times New Roman" w:cs="Times New Roman"/>
          <w:sz w:val="22"/>
          <w:szCs w:val="22"/>
          <w:highlight w:val="white"/>
          <w:lang w:val="en"/>
        </w:rPr>
        <w:fldChar w:fldCharType="end"/>
      </w:r>
      <w:r w:rsidRPr="001C72A7">
        <w:rPr>
          <w:rFonts w:eastAsia="Times New Roman" w:cs="Times New Roman"/>
          <w:sz w:val="22"/>
          <w:szCs w:val="22"/>
          <w:highlight w:val="white"/>
          <w:lang w:val="en"/>
        </w:rPr>
        <w:t xml:space="preserve">. </w:t>
      </w:r>
    </w:p>
    <w:p w:rsidR="001C72A7" w:rsidRPr="001C72A7" w:rsidRDefault="001C72A7" w:rsidP="001C72A7">
      <w:pPr>
        <w:spacing w:line="360" w:lineRule="auto"/>
        <w:rPr>
          <w:rFonts w:eastAsia="Times New Roman" w:cs="Times New Roman"/>
          <w:sz w:val="22"/>
          <w:szCs w:val="22"/>
          <w:highlight w:val="yellow"/>
          <w:lang w:val="en"/>
        </w:rPr>
      </w:pPr>
      <w:r w:rsidRPr="001C72A7">
        <w:rPr>
          <w:rFonts w:eastAsia="Times New Roman" w:cs="Times New Roman"/>
          <w:b/>
          <w:sz w:val="22"/>
          <w:szCs w:val="22"/>
          <w:highlight w:val="white"/>
          <w:lang w:val="en"/>
        </w:rPr>
        <w:t xml:space="preserve">Caregiver Pathway. </w:t>
      </w:r>
      <w:r w:rsidRPr="001C72A7">
        <w:rPr>
          <w:rFonts w:eastAsia="Times New Roman" w:cs="Times New Roman"/>
          <w:sz w:val="22"/>
          <w:szCs w:val="22"/>
          <w:highlight w:val="white"/>
          <w:lang w:val="en"/>
        </w:rPr>
        <w:t>The caregiver pathway is</w:t>
      </w:r>
      <w:r w:rsidRPr="001C72A7">
        <w:rPr>
          <w:rFonts w:eastAsia="Times New Roman" w:cs="Times New Roman"/>
          <w:b/>
          <w:sz w:val="22"/>
          <w:szCs w:val="22"/>
          <w:highlight w:val="white"/>
          <w:lang w:val="en"/>
        </w:rPr>
        <w:t xml:space="preserve"> </w:t>
      </w:r>
      <w:r w:rsidRPr="001C72A7">
        <w:rPr>
          <w:rFonts w:eastAsia="Times New Roman" w:cs="Times New Roman"/>
          <w:sz w:val="22"/>
          <w:szCs w:val="22"/>
          <w:highlight w:val="white"/>
          <w:lang w:val="en"/>
        </w:rPr>
        <w:t xml:space="preserve">characterized by caregiver attributes, such as parental depression and food-related anxieties </w:t>
      </w:r>
      <w:r w:rsidRPr="001C72A7">
        <w:rPr>
          <w:rFonts w:eastAsia="Times New Roman" w:cs="Times New Roman"/>
          <w:sz w:val="22"/>
          <w:szCs w:val="22"/>
          <w:highlight w:val="white"/>
          <w:lang w:val="en"/>
        </w:rPr>
        <w:fldChar w:fldCharType="begin" w:fldLock="1"/>
      </w:r>
      <w:r w:rsidRPr="001C72A7">
        <w:rPr>
          <w:rFonts w:eastAsia="Times New Roman" w:cs="Times New Roman"/>
          <w:sz w:val="22"/>
          <w:szCs w:val="22"/>
          <w:highlight w:val="white"/>
          <w:lang w:val="en"/>
        </w:rPr>
        <w:instrText>ADDIN CSL_CITATION {"citationItems":[{"id":"ITEM-1","itemData":{"DOI":"10.1542/peds.2006-0239","ISSN":"00314005","PMID":"16950971","abstract":"OBJECTIVES. We sought to determine if the prevalence of depression and anxiety in mothers and the prevalence of behavior problems in preschool-aged children are more common when mothers report being food insecure. METHODS. A cross-sectional survey of 2870 mothers of 3-year-old children was conducted in 2001-2003 in 18 large US cities. On the basis of the adult food-security scale calculated from the US Household Food Security Survey Module, mothers were categorized into 3 levels: fully food secure, marginally food secure, and food insecure. The 12-month prevalence in mothers of a major depressive episode and generalized anxiety disorder was assessed by the Composite International Diagnostic Interview-Short Form. A child behavior problem in ≥1 of 3 domains (aggressive, anxious/depressed, or inattention/hyperactivity) was based on the Child Behavior Checklist. RESULTS. Seventy-one percent of the respondents were fully food secure, 17% were marginally food secure, and 12% were food insecure. After adjustment for sociodemographic factors plus maternal physical health, alcohol use, drug use, prenatal smoking, and prenatal physical domestic violence, the percentage of mothers with either major depressive episode or generalized anxiety disorder increased with increasing food insecurity: 16.9%, 21.0%, and 30.3% across the 3 levels. Among children, after further adjustment for maternal major depressive episode and generalized anxiety disorder, the percentage with a behavior problem also increased with increasing food insecurity: 22.7%, 31.1%, and 36.7%. CONCLUSIONS. Mental health problems in mothers and children are more common when mothers are food insecure, a stressor that can potentially be addressed by social policy. Copyright © 2006 by the American Academy of Pediatrics.","author":[{"dropping-particle":"","family":"Whitaker","given":"Robert C.","non-dropping-particle":"","parse-names":false,"suffix":""},{"dropping-particle":"","family":"Phillips","given":"Shannon M.","non-dropping-particle":"","parse-names":false,"suffix":""},{"dropping-particle":"","family":"Orzol","given":"Sean M.","non-dropping-particle":"","parse-names":false,"suffix":""}],"container-title":"Pediatrics","id":"ITEM-1","issue":"3","issued":{"date-parts":[["2006"]]},"title":"Food insecurity and the risks of depression and anxiety in mothers and behavior problems in their preschool-aged children","type":"article-journal","volume":"118"},"uris":["http://www.mendeley.com/documents/?uuid=a4621400-5e8d-4c4e-8f63-72d82c10ad8d"]},{"id":"ITEM-2","itemData":{"DOI":"10.1001/archpediatrics.2012.1","ISSN":"10724710","abstract":"Objectives: To examine how family stressors (household food insecurity and/or caregiver depressive symptoms) relate to child health and whether participation in the Special Supplemental Nutrition Program for Women, Infants, and Children (WIC) attenuates stress-related child health risks. Design: Cross-sectional family stress and cumulative stress models from January 1, 2000, through December 31, 2010. Setting: Families recruited from emergency departments and/or primary care in Baltimore, Boston, Little Rock, Los Angeles, Minneapolis, Philadelphia, and Washington, DC. Participants: Participants included 26 950 WIC-eligible caregivers and children younger than 36 months; 55.2% were black, 29.9% were Hispanic, and 13.0% were white. Caregivers' mean age was 25.6 years; 68.6% were US-born, 64.7% had completed high school, 38.0% were married, and 36.5% were employed. Main Exposures: Of the participants, 24.0% had household food insecurity and 24.4% had depressive symptoms; 9.1% had both stressors, 29.9% had 1 stressor, and 61.0% had neither; 89.7% were WIC participants. Outcome Measures: Caregivers reported child health, lifetime hospitalizations, and developmental risk. Weight and length were measured. We calculated weight-forage and length-for-age z scores and the risk of underweight or overweight. The well-child composite comprised good/excellent health, no hospitalizations, no developmental risk, and neither underweight nor overweight. Results: In multivariate analyses adjusted for covariates, as stressors increased, odds of fair/poor health, hospitalizations, and developmental risk increased and odds of well-child status decreased. Interactions between WIC participation and stressors favored WIC participants over nonparticipants in dual stressor families on 3 child health indicators: (1) fair/poor health: WIC participants, adjusted odds ratio (aOR), 1.89 (95% CI, 1.66-2.14) vs nonparticipants, 2.35 (2.16-4.02); (2) well-child status: WIC participants, 0.73 (0.62-0.84) vs nonparticipants, 0.34 (0.21-0.54); and (3) overweight: WIC participants, 1.01 (0.88-1.16) vs nonparticipants, 1.48 (1.04-2.11) (P=.06). Conclusions: As stressors increased, child health risks increased. WIC participation attenuates but does not eliminate child health risks. © 2012 American Medical Association.","author":[{"dropping-particle":"","family":"Black","given":"Maureen M.","non-dropping-particle":"","parse-names":false,"suffix":""},{"dropping-particle":"","family":"Quigg","given":"Anna M.","non-dropping-particle":"","parse-names":false,"suffix":""},{"dropping-particle":"","family":"Cook","given":"John","non-dropping-particle":"","parse-names":false,"suffix":""},{"dropping-particle":"","family":"Casey","given":"Patrick H.","non-dropping-particle":"","parse-names":false,"suffix":""},{"dropping-particle":"","family":"Cutts","given":"Diana Becker","non-dropping-particle":"","parse-names":false,"suffix":""},{"dropping-particle":"","family":"Chilton","given":"Mariana","non-dropping-particle":"","parse-names":false,"suffix":""},{"dropping-particle":"","family":"Meyers","given":"Alan","non-dropping-particle":"","parse-names":false,"suffix":""},{"dropping-particle":"","family":"Cuba","given":"Stephanie Ettinger","non-dropping-particle":"De","parse-names":false,"suffix":""},{"dropping-particle":"","family":"Heeren","given":"Timothy","non-dropping-particle":"","parse-names":false,"suffix":""},{"dropping-particle":"","family":"Coleman","given":"Sharon","non-dropping-particle":"","parse-names":false,"suffix":""},{"dropping-particle":"","family":"Rose-Jacobs","given":"Ruth","non-dropping-particle":"","parse-names":false,"suffix":""},{"dropping-particle":"","family":"Frank","given":"Deborah A.","non-dropping-particle":"","parse-names":false,"suffix":""}],"container-title":"Archives of Pediatrics and Adolescent Medicine","id":"ITEM-2","issue":"5","issued":{"date-parts":[["2012"]]},"page":"444-451","title":"WIC participation and attenuation of stress-related child health risks of household food insecurity and caregiver depressive symptoms","type":"article-journal","volume":"166"},"uris":["http://www.mendeley.com/documents/?uuid=589d260f-6ff8-489e-bf4b-5c98b1b7bb86"]}],"mendeley":{"formattedCitation":"(Whitaker, Phillips and Orzol, 2006; Black &lt;i&gt;et al.&lt;/i&gt;, 2012)","plainTextFormattedCitation":"(Whitaker, Phillips and Orzol, 2006; Black et al., 2012)","previouslyFormattedCitation":"(Whitaker, Phillips and Orzol, 2006; Black &lt;i&gt;et al.&lt;/i&gt;, 2012)"},"properties":{"noteIndex":0},"schema":"https://github.com/citation-style-language/schema/raw/master/csl-citation.json"}</w:instrText>
      </w:r>
      <w:r w:rsidRPr="001C72A7">
        <w:rPr>
          <w:rFonts w:eastAsia="Times New Roman" w:cs="Times New Roman"/>
          <w:sz w:val="22"/>
          <w:szCs w:val="22"/>
          <w:highlight w:val="white"/>
          <w:lang w:val="en"/>
        </w:rPr>
        <w:fldChar w:fldCharType="separate"/>
      </w:r>
      <w:r w:rsidRPr="001C72A7">
        <w:rPr>
          <w:rFonts w:eastAsia="Times New Roman" w:cs="Times New Roman"/>
          <w:noProof/>
          <w:sz w:val="22"/>
          <w:szCs w:val="22"/>
          <w:highlight w:val="white"/>
          <w:lang w:val="en"/>
        </w:rPr>
        <w:t xml:space="preserve">(Whitaker, Phillips and Orzol, 2006; Black </w:t>
      </w:r>
      <w:r w:rsidRPr="001C72A7">
        <w:rPr>
          <w:rFonts w:eastAsia="Times New Roman" w:cs="Times New Roman"/>
          <w:i/>
          <w:noProof/>
          <w:sz w:val="22"/>
          <w:szCs w:val="22"/>
          <w:highlight w:val="white"/>
          <w:lang w:val="en"/>
        </w:rPr>
        <w:t>et al.</w:t>
      </w:r>
      <w:r w:rsidRPr="001C72A7">
        <w:rPr>
          <w:rFonts w:eastAsia="Times New Roman" w:cs="Times New Roman"/>
          <w:noProof/>
          <w:sz w:val="22"/>
          <w:szCs w:val="22"/>
          <w:highlight w:val="white"/>
          <w:lang w:val="en"/>
        </w:rPr>
        <w:t>, 2012)</w:t>
      </w:r>
      <w:r w:rsidRPr="001C72A7">
        <w:rPr>
          <w:rFonts w:eastAsia="Times New Roman" w:cs="Times New Roman"/>
          <w:sz w:val="22"/>
          <w:szCs w:val="22"/>
          <w:highlight w:val="white"/>
          <w:lang w:val="en"/>
        </w:rPr>
        <w:fldChar w:fldCharType="end"/>
      </w:r>
      <w:r w:rsidRPr="001C72A7">
        <w:rPr>
          <w:rFonts w:eastAsia="Times New Roman" w:cs="Times New Roman"/>
          <w:sz w:val="22"/>
          <w:szCs w:val="22"/>
          <w:lang w:val="en"/>
        </w:rPr>
        <w:t>.</w:t>
      </w:r>
      <w:r w:rsidRPr="001C72A7">
        <w:rPr>
          <w:rFonts w:eastAsia="Times New Roman" w:cs="Times New Roman"/>
          <w:sz w:val="22"/>
          <w:szCs w:val="22"/>
          <w:highlight w:val="white"/>
          <w:lang w:val="en"/>
        </w:rPr>
        <w:t xml:space="preserve"> This often starts with maternal perinatal nutrition. Food insecurity among other stressors during this period is linked to adverse impacts on a child’s  health, development, and overall welfare </w:t>
      </w:r>
      <w:r w:rsidRPr="001C72A7">
        <w:rPr>
          <w:rFonts w:eastAsia="Times New Roman" w:cs="Times New Roman"/>
          <w:sz w:val="22"/>
          <w:szCs w:val="22"/>
          <w:highlight w:val="white"/>
          <w:lang w:val="en"/>
        </w:rPr>
        <w:fldChar w:fldCharType="begin" w:fldLock="1"/>
      </w:r>
      <w:r w:rsidRPr="001C72A7">
        <w:rPr>
          <w:rFonts w:eastAsia="Times New Roman" w:cs="Times New Roman"/>
          <w:sz w:val="22"/>
          <w:szCs w:val="22"/>
          <w:highlight w:val="white"/>
          <w:lang w:val="en"/>
        </w:rPr>
        <w:instrText>ADDIN CSL_CITATION {"citationItems":[{"id":"ITEM-1","itemData":{"DOI":"10.1542/peds.2006-0239","ISSN":"00314005","PMID":"16950971","abstract":"OBJECTIVES. We sought to determine if the prevalence of depression and anxiety in mothers and the prevalence of behavior problems in preschool-aged children are more common when mothers report being food insecure. METHODS. A cross-sectional survey of 2870 mothers of 3-year-old children was conducted in 2001-2003 in 18 large US cities. On the basis of the adult food-security scale calculated from the US Household Food Security Survey Module, mothers were categorized into 3 levels: fully food secure, marginally food secure, and food insecure. The 12-month prevalence in mothers of a major depressive episode and generalized anxiety disorder was assessed by the Composite International Diagnostic Interview-Short Form. A child behavior problem in ≥1 of 3 domains (aggressive, anxious/depressed, or inattention/hyperactivity) was based on the Child Behavior Checklist. RESULTS. Seventy-one percent of the respondents were fully food secure, 17% were marginally food secure, and 12% were food insecure. After adjustment for sociodemographic factors plus maternal physical health, alcohol use, drug use, prenatal smoking, and prenatal physical domestic violence, the percentage of mothers with either major depressive episode or generalized anxiety disorder increased with increasing food insecurity: 16.9%, 21.0%, and 30.3% across the 3 levels. Among children, after further adjustment for maternal major depressive episode and generalized anxiety disorder, the percentage with a behavior problem also increased with increasing food insecurity: 22.7%, 31.1%, and 36.7%. CONCLUSIONS. Mental health problems in mothers and children are more common when mothers are food insecure, a stressor that can potentially be addressed by social policy. Copyright © 2006 by the American Academy of Pediatrics.","author":[{"dropping-particle":"","family":"Whitaker","given":"Robert C.","non-dropping-particle":"","parse-names":false,"suffix":""},{"dropping-particle":"","family":"Phillips","given":"Shannon M.","non-dropping-particle":"","parse-names":false,"suffix":""},{"dropping-particle":"","family":"Orzol","given":"Sean M.","non-dropping-particle":"","parse-names":false,"suffix":""}],"container-title":"Pediatrics","id":"ITEM-1","issue":"3","issued":{"date-parts":[["2006"]]},"title":"Food insecurity and the risks of depression and anxiety in mothers and behavior problems in their preschool-aged children","type":"article-journal","volume":"118"},"uris":["http://www.mendeley.com/documents/?uuid=a4621400-5e8d-4c4e-8f63-72d82c10ad8d"]},{"id":"ITEM-2","itemData":{"URL":"https://www.apa.org/pi/ses/resources/indicator/2012/06/household-food-insecurities","accessed":{"date-parts":[["2020","6","13"]]},"author":[{"dropping-particle":"","family":"Black","given":"Maureen","non-dropping-particle":"","parse-names":false,"suffix":""}],"container-title":"American Psychological Association: The SES indicator","id":"ITEM-2","issued":{"date-parts":[["2012"]]},"title":"Household food insecurities: Threats to children’s well-being","type":"webpage"},"uris":["http://www.mendeley.com/documents/?uuid=2564d70b-4333-3abd-87f7-cb7bce50e3cd"]}],"mendeley":{"formattedCitation":"(Whitaker, Phillips and Orzol, 2006; Black, 2012)","plainTextFormattedCitation":"(Whitaker, Phillips and Orzol, 2006; Black, 2012)","previouslyFormattedCitation":"(Whitaker, Phillips and Orzol, 2006; Black, 2012)"},"properties":{"noteIndex":0},"schema":"https://github.com/citation-style-language/schema/raw/master/csl-citation.json"}</w:instrText>
      </w:r>
      <w:r w:rsidRPr="001C72A7">
        <w:rPr>
          <w:rFonts w:eastAsia="Times New Roman" w:cs="Times New Roman"/>
          <w:sz w:val="22"/>
          <w:szCs w:val="22"/>
          <w:highlight w:val="white"/>
          <w:lang w:val="en"/>
        </w:rPr>
        <w:fldChar w:fldCharType="separate"/>
      </w:r>
      <w:r w:rsidRPr="001C72A7">
        <w:rPr>
          <w:rFonts w:eastAsia="Times New Roman" w:cs="Times New Roman"/>
          <w:noProof/>
          <w:sz w:val="22"/>
          <w:szCs w:val="22"/>
          <w:highlight w:val="white"/>
          <w:lang w:val="en"/>
        </w:rPr>
        <w:t>(Whitaker, Phillips and Orzol, 2006; Black, 2012)</w:t>
      </w:r>
      <w:r w:rsidRPr="001C72A7">
        <w:rPr>
          <w:rFonts w:eastAsia="Times New Roman" w:cs="Times New Roman"/>
          <w:sz w:val="22"/>
          <w:szCs w:val="22"/>
          <w:highlight w:val="white"/>
          <w:lang w:val="en"/>
        </w:rPr>
        <w:fldChar w:fldCharType="end"/>
      </w:r>
      <w:r w:rsidRPr="001C72A7">
        <w:rPr>
          <w:rFonts w:eastAsia="Times New Roman" w:cs="Times New Roman"/>
          <w:sz w:val="22"/>
          <w:szCs w:val="22"/>
          <w:highlight w:val="white"/>
          <w:lang w:val="en"/>
        </w:rPr>
        <w:t xml:space="preserve">.  Closely connected to this is the willingness and capacity of the maternal caregiver to provide for the child. Another caregiver pathway to child undernutrition is mother’s mental health status (e.g., depression, anxiety and stress, etc.). Maternal mental health may, in fact, stem from worry and/or shame related to the household’s lack of </w:t>
      </w:r>
      <w:r w:rsidRPr="001C72A7">
        <w:rPr>
          <w:rFonts w:eastAsia="Times New Roman" w:cs="Times New Roman"/>
          <w:sz w:val="22"/>
          <w:szCs w:val="22"/>
          <w:lang w:val="en"/>
        </w:rPr>
        <w:t xml:space="preserve">food and other means </w:t>
      </w:r>
      <w:r w:rsidRPr="001C72A7">
        <w:rPr>
          <w:rFonts w:eastAsia="Times New Roman" w:cs="Times New Roman"/>
          <w:sz w:val="22"/>
          <w:szCs w:val="22"/>
          <w:lang w:val="en"/>
        </w:rPr>
        <w:fldChar w:fldCharType="begin" w:fldLock="1"/>
      </w:r>
      <w:r w:rsidRPr="001C72A7">
        <w:rPr>
          <w:rFonts w:eastAsia="Times New Roman" w:cs="Times New Roman"/>
          <w:sz w:val="22"/>
          <w:szCs w:val="22"/>
          <w:lang w:val="en"/>
        </w:rPr>
        <w:instrText>ADDIN CSL_CITATION {"citationItems":[{"id":"ITEM-1","itemData":{"DOI":"10.1007/s10995-015-1797-8","ISSN":"15736628","abstract":"Objectives: This study among 51 parents of young children under age four investigated how parents that report marginal, low and very low food security characterize how trade-offs associated with food insecurity affect parents’ mental health and child well-being. Methods: We carried out 51 semi-structured audio-recorded interviews after participants responded to a survey regarding food security status and maternal depressive symptoms. Each interview was transcribed. Through a content analysis, we coded “meaning units” in each manuscript and organized them by themes in ATLAS.ti. Among participants reporting both food insecurity and depressive symptoms, we identified three primary areas of concern: trade-offs, mental health, and child well-being. Results: Parents described how trade-offs associated with food insecurity have a profound relationship with their mental health and home environment that strongly affects young children. Descriptions of hardships include anxiety and depression related to overdue bills and shut-off notices, strains with housing costs, and safety. Parents described how their own frustration, anxiety, and depression related to economic hardship have a negative impact on their children’s physical health, and their social and emotional development. Conclusions: Parents in food insecure households recognize that trade-offs between food and other basic necessities are associated with their personal stress and poor mental health that, in turn, affects their children’s health and development. Partnerships between healthcare providers, policymakers, and parents are essential to successfully address and prevent the poor child health outcomes of toxic stress associated with food insecurity and poverty.","author":[{"dropping-particle":"","family":"Knowles","given":"Molly","non-dropping-particle":"","parse-names":false,"suffix":""},{"dropping-particle":"","family":"Rabinowich","given":"Jenny","non-dropping-particle":"","parse-names":false,"suffix":""},{"dropping-particle":"","family":"Ettinger de Cuba","given":"Stephanie","non-dropping-particle":"","parse-names":false,"suffix":""},{"dropping-particle":"","family":"Cutts","given":"Diana Becker","non-dropping-particle":"","parse-names":false,"suffix":""},{"dropping-particle":"","family":"Chilton","given":"Mariana","non-dropping-particle":"","parse-names":false,"suffix":""}],"container-title":"Maternal and Child Health Journal","id":"ITEM-1","issue":"1","issued":{"date-parts":[["2016"]]},"page":"25-32","publisher":"Springer US","title":"“Do You Wanna Breathe or Eat?”: Parent Perspectives on Child Health Consequences of Food Insecurity, Trade-Offs, and Toxic Stress","type":"article-journal","volume":"20"},"uris":["http://www.mendeley.com/documents/?uuid=627c1f05-f1be-46aa-82d9-1d929107c9a3"]}],"mendeley":{"formattedCitation":"(Knowles &lt;i&gt;et al.&lt;/i&gt;, 2016)","plainTextFormattedCitation":"(Knowles et al., 2016)","previouslyFormattedCitation":"(Knowles &lt;i&gt;et al.&lt;/i&gt;, 2016)"},"properties":{"noteIndex":0},"schema":"https://github.com/citation-style-language/schema/raw/master/csl-citation.json"}</w:instrText>
      </w:r>
      <w:r w:rsidRPr="001C72A7">
        <w:rPr>
          <w:rFonts w:eastAsia="Times New Roman" w:cs="Times New Roman"/>
          <w:sz w:val="22"/>
          <w:szCs w:val="22"/>
          <w:lang w:val="en"/>
        </w:rPr>
        <w:fldChar w:fldCharType="separate"/>
      </w:r>
      <w:r w:rsidRPr="001C72A7">
        <w:rPr>
          <w:rFonts w:eastAsia="Times New Roman" w:cs="Times New Roman"/>
          <w:noProof/>
          <w:sz w:val="22"/>
          <w:szCs w:val="22"/>
          <w:lang w:val="en"/>
        </w:rPr>
        <w:t xml:space="preserve">(Knowles </w:t>
      </w:r>
      <w:r w:rsidRPr="001C72A7">
        <w:rPr>
          <w:rFonts w:eastAsia="Times New Roman" w:cs="Times New Roman"/>
          <w:i/>
          <w:noProof/>
          <w:sz w:val="22"/>
          <w:szCs w:val="22"/>
          <w:lang w:val="en"/>
        </w:rPr>
        <w:t>et al.</w:t>
      </w:r>
      <w:r w:rsidRPr="001C72A7">
        <w:rPr>
          <w:rFonts w:eastAsia="Times New Roman" w:cs="Times New Roman"/>
          <w:noProof/>
          <w:sz w:val="22"/>
          <w:szCs w:val="22"/>
          <w:lang w:val="en"/>
        </w:rPr>
        <w:t>, 2016)</w:t>
      </w:r>
      <w:r w:rsidRPr="001C72A7">
        <w:rPr>
          <w:rFonts w:eastAsia="Times New Roman" w:cs="Times New Roman"/>
          <w:sz w:val="22"/>
          <w:szCs w:val="22"/>
          <w:lang w:val="en"/>
        </w:rPr>
        <w:fldChar w:fldCharType="end"/>
      </w:r>
      <w:r w:rsidRPr="001C72A7">
        <w:rPr>
          <w:rFonts w:eastAsia="Times New Roman" w:cs="Times New Roman"/>
          <w:sz w:val="22"/>
          <w:szCs w:val="22"/>
          <w:lang w:val="en"/>
        </w:rPr>
        <w:t>. C</w:t>
      </w:r>
      <w:r w:rsidRPr="001C72A7">
        <w:rPr>
          <w:rFonts w:eastAsia="Times New Roman" w:cs="Times New Roman"/>
          <w:sz w:val="22"/>
          <w:szCs w:val="22"/>
          <w:highlight w:val="white"/>
          <w:lang w:val="en"/>
        </w:rPr>
        <w:t xml:space="preserve">onsequently, a mother may exhibit ineffective infant feeding strategies and behaviors. The economic status of the household is also connected to the caregiver pathway and may correlate with feelings of anxiety and stress </w:t>
      </w:r>
      <w:r w:rsidRPr="001C72A7">
        <w:rPr>
          <w:rFonts w:eastAsia="Times New Roman" w:cs="Times New Roman"/>
          <w:sz w:val="22"/>
          <w:szCs w:val="22"/>
          <w:highlight w:val="white"/>
          <w:lang w:val="en"/>
        </w:rPr>
        <w:fldChar w:fldCharType="begin" w:fldLock="1"/>
      </w:r>
      <w:r w:rsidRPr="001C72A7">
        <w:rPr>
          <w:rFonts w:eastAsia="Times New Roman" w:cs="Times New Roman"/>
          <w:sz w:val="22"/>
          <w:szCs w:val="22"/>
          <w:highlight w:val="white"/>
          <w:lang w:val="en"/>
        </w:rPr>
        <w:instrText>ADDIN CSL_CITATION {"citationItems":[{"id":"ITEM-1","itemData":{"DOI":"10.1093/ije/dyu075","ISSN":"14643685","abstract":"Background: Global progress in reducing the burden of undernutrition tends to be measured at the population level. It has been hypothesized that population-level improvements may mask widening socioeconomic inequalities, but little attempt has been made to assess whether this is true. Methods: Original data from 131 demographic health surveys and 48 multiple indicator cluster surveys from 1990 to 2011 were used to examine trends in socioeconomic inequalities in stunting and underweight, as well as the relationship between changes in prevalence and changes in inequality, in 80 countries. Socioeconomic inequality is measured using the corrected concentration index. Results: Countries with a higher prevalence of stunting tend to have larger socioeconomic inequalities in stunting (Spearman rank correlation=-0.27 P=0.014). In most countries, there has been no change in inequality in stunting: in 31 out of 53, the 90% confidence intervals around the changes overlap the zero value. In the remaining 22, there was a reduction in inequality in 11 and an increase in 11. The distributional patterns underlying the summary inequality statistics vary considerably across countries, but in most there have been considerable gains to the poorest quintile. Conclusions: Reductions in the prevalence of undernutrition have generally not been accompanied by widening inequalities. However, inequalities have also not been narrowing. Rather, the picture is one of a strong persistence of existing inequalities. In addition, there are different distributional patterns underlying changes in the summary indices of inequality which will need to be taken into consideration in designing programmes to reach the poor. © The Author 2014; Published by Oxford University Press on behalf of the International Epidemiological Association all rights reserved.","author":[{"dropping-particle":"","family":"Bredenkamp","given":"Caryn","non-dropping-particle":"","parse-names":false,"suffix":""},{"dropping-particle":"","family":"Buisman","given":"Leander R.","non-dropping-particle":"","parse-names":false,"suffix":""},{"dropping-particle":"","family":"Poel","given":"Ellen","non-dropping-particle":"Van de","parse-names":false,"suffix":""}],"container-title":"International Journal of Epidemiology","id":"ITEM-1","issue":"4","issued":{"date-parts":[["2014"]]},"page":"1328-1335","title":"Persistent inequalities in child undernutrition: Evidence from 80 countries, from 1990 to today","type":"article-journal","volume":"43"},"uris":["http://www.mendeley.com/documents/?uuid=d426fc34-b577-489b-b7cc-6f32173453d5"]}],"mendeley":{"formattedCitation":"(Bredenkamp, Buisman and Van de Poel, 2014)","plainTextFormattedCitation":"(Bredenkamp, Buisman and Van de Poel, 2014)","previouslyFormattedCitation":"(Bredenkamp, Buisman and Van de Poel, 2014)"},"properties":{"noteIndex":0},"schema":"https://github.com/citation-style-language/schema/raw/master/csl-citation.json"}</w:instrText>
      </w:r>
      <w:r w:rsidRPr="001C72A7">
        <w:rPr>
          <w:rFonts w:eastAsia="Times New Roman" w:cs="Times New Roman"/>
          <w:sz w:val="22"/>
          <w:szCs w:val="22"/>
          <w:highlight w:val="white"/>
          <w:lang w:val="en"/>
        </w:rPr>
        <w:fldChar w:fldCharType="separate"/>
      </w:r>
      <w:r w:rsidRPr="001C72A7">
        <w:rPr>
          <w:rFonts w:eastAsia="Times New Roman" w:cs="Times New Roman"/>
          <w:noProof/>
          <w:sz w:val="22"/>
          <w:szCs w:val="22"/>
          <w:highlight w:val="white"/>
          <w:lang w:val="en"/>
        </w:rPr>
        <w:t>(Bredenkamp, Buisman and Van de Poel, 2014)</w:t>
      </w:r>
      <w:r w:rsidRPr="001C72A7">
        <w:rPr>
          <w:rFonts w:eastAsia="Times New Roman" w:cs="Times New Roman"/>
          <w:sz w:val="22"/>
          <w:szCs w:val="22"/>
          <w:highlight w:val="white"/>
          <w:lang w:val="en"/>
        </w:rPr>
        <w:fldChar w:fldCharType="end"/>
      </w:r>
      <w:r w:rsidRPr="001C72A7">
        <w:rPr>
          <w:rFonts w:eastAsia="Times New Roman" w:cs="Times New Roman"/>
          <w:sz w:val="22"/>
          <w:szCs w:val="22"/>
          <w:highlight w:val="white"/>
          <w:lang w:val="en"/>
        </w:rPr>
        <w:t>.</w:t>
      </w:r>
    </w:p>
    <w:p w:rsidR="001C72A7" w:rsidRPr="001C72A7" w:rsidRDefault="001C72A7" w:rsidP="001C72A7">
      <w:pPr>
        <w:spacing w:line="360" w:lineRule="auto"/>
        <w:rPr>
          <w:rFonts w:eastAsia="Times New Roman" w:cs="Times New Roman"/>
          <w:sz w:val="22"/>
          <w:szCs w:val="22"/>
          <w:lang w:val="en"/>
        </w:rPr>
      </w:pPr>
      <w:r w:rsidRPr="001C72A7">
        <w:rPr>
          <w:rFonts w:eastAsia="Times New Roman" w:cs="Times New Roman"/>
          <w:b/>
          <w:sz w:val="22"/>
          <w:szCs w:val="22"/>
          <w:highlight w:val="white"/>
          <w:lang w:val="en"/>
        </w:rPr>
        <w:t xml:space="preserve">Contextual Pathway. </w:t>
      </w:r>
      <w:r w:rsidRPr="001C72A7">
        <w:rPr>
          <w:rFonts w:eastAsia="Times New Roman" w:cs="Times New Roman"/>
          <w:sz w:val="22"/>
          <w:szCs w:val="22"/>
          <w:lang w:val="en"/>
        </w:rPr>
        <w:t xml:space="preserve">Multiple contextual links have been identified with respect to food insecurity and child malnutrition. Prominent among these are climate variability, including extreme weather events, poor farming methods, absence of comprehensive policy responses, and distribution obstacles </w:t>
      </w:r>
      <w:r w:rsidRPr="001C72A7">
        <w:rPr>
          <w:rFonts w:eastAsia="Times New Roman" w:cs="Times New Roman"/>
          <w:sz w:val="22"/>
          <w:szCs w:val="22"/>
          <w:lang w:val="en"/>
        </w:rPr>
        <w:fldChar w:fldCharType="begin" w:fldLock="1"/>
      </w:r>
      <w:r w:rsidRPr="001C72A7">
        <w:rPr>
          <w:rFonts w:eastAsia="Times New Roman" w:cs="Times New Roman"/>
          <w:sz w:val="22"/>
          <w:szCs w:val="22"/>
          <w:lang w:val="en"/>
        </w:rPr>
        <w:instrText>ADDIN CSL_CITATION {"citationItems":[{"id":"ITEM-1","itemData":{"DOI":"10.4178/epih.e2019015","ISSN":"20927193","abstract":"OBJECTIVES: The cholera outbreak in Yemen has become the largest in the recent history of cholera records, having reached more than 1.4 million cases since it started in late 2016. This study aimed to identify risk factors for cholera in this outbreak. METHODS: A case-control study was conducted in Aden in 2018 to investigate risk factors for cholera in this still-ongoing outbreak. In total, 59 cholera cases and 118 community controls were studied. RESULTS: The following risk factors were associated with being a cholera case in the bivariate analysis: a history of travelling and having had visitors from outside Aden Province; eating outside the house; not washing fruit, vegetables, and khat (a local herbal stimulant) before consumption; using common-source water; and not using chlorine or soap in the household. In the multivariate analysis, not washing khat and the use of common-source water remained significant risk factors for being a cholera case. CONCLUSIONS: Behavioural factors and unsafe water appear to be the major risk factors in the recent cholera outbreak in Yemen. In order to reduce the risk of cholera, hygiene practices for washing khat and vegetables and the use and accessibility of safe drinking water should be promoted at the community level.","author":[{"dropping-particle":"","family":"Dureab","given":"Fekri","non-dropping-particle":"","parse-names":false,"suffix":""},{"dropping-particle":"","family":"Jahn","given":"Albrecht","non-dropping-particle":"","parse-names":false,"suffix":""},{"dropping-particle":"","family":"Krisam","given":"Johannes","non-dropping-particle":"","parse-names":false,"suffix":""},{"dropping-particle":"","family":"Dureab","given":"Asma","non-dropping-particle":"","parse-names":false,"suffix":""},{"dropping-particle":"","family":"Zain","given":"Omer","non-dropping-particle":"","parse-names":false,"suffix":""},{"dropping-particle":"","family":"Al-Awlaqi","given":"Sameh","non-dropping-particle":"","parse-names":false,"suffix":""},{"dropping-particle":"","family":"Müller","given":"Olaf","non-dropping-particle":"","parse-names":false,"suffix":""}],"container-title":"Epidemiology and health","id":"ITEM-1","issue":"March 2015","issued":{"date-parts":[["2019"]]},"page":"e2019015","title":"Risk factors associated with the recent cholera outbreak in Yemen: a case-control study","type":"article-journal","volume":"41"},"uris":["http://www.mendeley.com/documents/?uuid=e9526110-4bb9-48a0-8e59-b902e924ad36"]},{"id":"ITEM-2","itemData":{"ISBN":"9789251315705","author":[{"dropping-particle":"","family":"FAO","given":"","non-dropping-particle":"","parse-names":false,"suffix":""},{"dropping-particle":"","family":"IFAD","given":"","non-dropping-particle":"","parse-names":false,"suffix":""},{"dropping-particle":"","family":"UNICEF","given":"","non-dropping-particle":"","parse-names":false,"suffix":""},{"dropping-particle":"","family":"WFP","given":"","non-dropping-particle":"","parse-names":false,"suffix":""},{"dropping-particle":"","family":"WHO","given":"","non-dropping-particle":"","parse-names":false,"suffix":""}],"id":"ITEM-2","issued":{"date-parts":[["2019"]]},"publisher":"FOOD &amp; AGRICULTURE ORG","publisher-place":"Rome","title":"The state of food security and nutrition in the world 2019: Safeguarding against economic slowdowns and downturns.","type":"report"},"uris":["http://www.mendeley.com/documents/?uuid=6e0a38e7-727d-3a80-9ca3-9dc126c56d8e"]},{"id":"ITEM-3","itemData":{"DOI":"ISSN 1728-9246","ISBN":"9788578110796","ISSN":"1098-6596","PMID":"25246403","abstract":"Currently, the world is faced with an unprecedented call for action at a moment in which four countries have been identified as at risk of famine, and demand for humanitarian and resilience assistance is escalating. Against this background, informing the global and national food security community on the risk of food crises and on the severity of such crises is of fundamental importance. In recent years, stakeholders have made major investments to improve food security analysis and related early warning systems in order to prevent and tackle food crises more efficiently. Although significant improvements have been made over time in the methods and technologies used to improve the quality and timeliness of food security assessments and monitoring systems, a comprehensive global pictures of food crises is still often missing. Partial geographical coverage and a lack of comparable data within a standardised system make it difficult to get a full global picture of food crises at any given time. The European Union, WFP and FAO have joined forces to coordinate the compilation of analyses to increase the impact of humanitarian and resilience responses through the preparation of the “Global report on Food Crises”. The Global Report enhances coordination and decision-making through a neutral analysis that informs program planning and implementation. The key objective and strength of the report is to establish a consultative and consensus-based process to compile food insecurity analysis from throughout the world into a global public product to inform annual planning and resource allocation decisions. Technical, operational and financial partners require evidence-based information to ensure appropriate planning and resources to tackle the consequences of food security crises within an evolving humanitarian financing landscape. The World Humanitarian Summit has prompted a major rethink of the way response financing is delivered in crisis settings, highlighting the need for more long-term development investments to address risk, prevent crises and build resilience. Since 2013, the European Commission has worked to develop ways to compare and clarify the results of food security analyses across partners and geographical areas to provide a comprehensive overview of the global food security situation. In 2015, the Joint Research Centre of the European Commission (ECJRC) produced an annual report on food insecurity hotspots to inform decisions on food crisis allocation…","author":[{"dropping-particle":"","family":"FSIN","given":"","non-dropping-particle":"","parse-names":false,"suffix":""}],"container-title":"World Food Programme","id":"ITEM-3","issued":{"date-parts":[["2019"]]},"title":"Global Report on Food Crises 2019","type":"report"},"uris":["http://www.mendeley.com/documents/?uuid=f9be4e4f-6093-43c4-9996-c35cc659ab71"]},{"id":"ITEM-4","itemData":{"DOI":"10.1016/S0140-6736(16)31698-1","ISSN":"1474547X","abstract":"Building on long-term benefits of early intervention (Paper 2 of this Series) and increasing commitment to early childhood development (Paper 1 of this Series), scaled up support for the youngest children is essential to improving health, human capital, and wellbeing across the life course. In this third paper, new analyses show that the burden of poor development is higher than estimated, taking into account additional risk factors. National programmes are needed. Greater political prioritisation is core to scale-up, as are policies that afford families time and financial resources to provide nurturing care for young children. Effective and feasible programmes to support early child development are now available. All sectors, particularly education, and social and child protection, must play a role to meet the holistic needs of young children. However, health provides a critical starting point for scaling up, given its reach to pregnant women, families, and young children. Starting at conception, interventions to promote nurturing care can feasibly build on existing health and nutrition services at limited additional cost. Failure to scale up has severe personal and social consequences. Children at elevated risk for compromised development due to stunting and poverty are likely to forgo about a quarter of average adult income per year, and the cost of inaction to gross domestic product can be double what some countries currently spend on health. Services and interventions to support early childhood development are essential to realising the vision of the Sustainable Development Goals.","author":[{"dropping-particle":"","family":"Richter","given":"Linda M.","non-dropping-particle":"","parse-names":false,"suffix":""},{"dropping-particle":"","family":"Daelmans","given":"Bernadette","non-dropping-particle":"","parse-names":false,"suffix":""},{"dropping-particle":"","family":"Lombardi","given":"Joan","non-dropping-particle":"","parse-names":false,"suffix":""},{"dropping-particle":"","family":"Heymann","given":"Jody","non-dropping-particle":"","parse-names":false,"suffix":""},{"dropping-particle":"","family":"Boo","given":"Florencia Lopez","non-dropping-particle":"","parse-names":false,"suffix":""},{"dropping-particle":"","family":"Behrman","given":"Jere R.","non-dropping-particle":"","parse-names":false,"suffix":""},{"dropping-particle":"","family":"Lu","given":"Chunling","non-dropping-particle":"","parse-names":false,"suffix":""},{"dropping-particle":"","family":"Lucas","given":"Jane E.","non-dropping-particle":"","parse-names":false,"suffix":""},{"dropping-particle":"","family":"Perez-Escamilla","given":"Rafael","non-dropping-particle":"","parse-names":false,"suffix":""},{"dropping-particle":"","family":"Dua","given":"Tarun","non-dropping-particle":"","parse-names":false,"suffix":""},{"dropping-particle":"","family":"Bhutta","given":"Zulfiqar A.","non-dropping-particle":"","parse-names":false,"suffix":""},{"dropping-particle":"","family":"Stenberg","given":"Karin","non-dropping-particle":"","parse-names":false,"suffix":""},{"dropping-particle":"","family":"Gertler","given":"Paul","non-dropping-particle":"","parse-names":false,"suffix":""},{"dropping-particle":"","family":"Darmstadt","given":"Gary L.","non-dropping-particle":"","parse-names":false,"suffix":""}],"container-title":"The Lancet","id":"ITEM-4","issue":"10064","issued":{"date-parts":[["2017"]]},"page":"103-118","title":"Investing in the foundation of sustainable development: pathways to scale up for early childhood development","type":"article-journal","volume":"389"},"uris":["http://www.mendeley.com/documents/?uuid=3032dcce-70f5-47e8-af37-a57fb4981cf4"]}],"mendeley":{"formattedCitation":"(Richter &lt;i&gt;et al.&lt;/i&gt;, 2017; Dureab &lt;i&gt;et al.&lt;/i&gt;, 2019; FAO &lt;i&gt;et al.&lt;/i&gt;, 2019; FSIN, 2019)","plainTextFormattedCitation":"(Richter et al., 2017; Dureab et al., 2019; FAO et al., 2019; FSIN, 2019)","previouslyFormattedCitation":"(Richter &lt;i&gt;et al.&lt;/i&gt;, 2017; Dureab &lt;i&gt;et al.&lt;/i&gt;, 2019; FAO &lt;i&gt;et al.&lt;/i&gt;, 2019; FSIN, 2019)"},"properties":{"noteIndex":0},"schema":"https://github.com/citation-style-language/schema/raw/master/csl-citation.json"}</w:instrText>
      </w:r>
      <w:r w:rsidRPr="001C72A7">
        <w:rPr>
          <w:rFonts w:eastAsia="Times New Roman" w:cs="Times New Roman"/>
          <w:sz w:val="22"/>
          <w:szCs w:val="22"/>
          <w:lang w:val="en"/>
        </w:rPr>
        <w:fldChar w:fldCharType="separate"/>
      </w:r>
      <w:r w:rsidRPr="001C72A7">
        <w:rPr>
          <w:rFonts w:eastAsia="Times New Roman" w:cs="Times New Roman"/>
          <w:noProof/>
          <w:sz w:val="22"/>
          <w:szCs w:val="22"/>
          <w:lang w:val="en"/>
        </w:rPr>
        <w:t xml:space="preserve">(Richter </w:t>
      </w:r>
      <w:r w:rsidRPr="001C72A7">
        <w:rPr>
          <w:rFonts w:eastAsia="Times New Roman" w:cs="Times New Roman"/>
          <w:i/>
          <w:noProof/>
          <w:sz w:val="22"/>
          <w:szCs w:val="22"/>
          <w:lang w:val="en"/>
        </w:rPr>
        <w:t>et al.</w:t>
      </w:r>
      <w:r w:rsidRPr="001C72A7">
        <w:rPr>
          <w:rFonts w:eastAsia="Times New Roman" w:cs="Times New Roman"/>
          <w:noProof/>
          <w:sz w:val="22"/>
          <w:szCs w:val="22"/>
          <w:lang w:val="en"/>
        </w:rPr>
        <w:t xml:space="preserve">, 2017; Dureab </w:t>
      </w:r>
      <w:r w:rsidRPr="001C72A7">
        <w:rPr>
          <w:rFonts w:eastAsia="Times New Roman" w:cs="Times New Roman"/>
          <w:i/>
          <w:noProof/>
          <w:sz w:val="22"/>
          <w:szCs w:val="22"/>
          <w:lang w:val="en"/>
        </w:rPr>
        <w:t>et al.</w:t>
      </w:r>
      <w:r w:rsidRPr="001C72A7">
        <w:rPr>
          <w:rFonts w:eastAsia="Times New Roman" w:cs="Times New Roman"/>
          <w:noProof/>
          <w:sz w:val="22"/>
          <w:szCs w:val="22"/>
          <w:lang w:val="en"/>
        </w:rPr>
        <w:t xml:space="preserve">, 2019; FAO </w:t>
      </w:r>
      <w:r w:rsidRPr="001C72A7">
        <w:rPr>
          <w:rFonts w:eastAsia="Times New Roman" w:cs="Times New Roman"/>
          <w:i/>
          <w:noProof/>
          <w:sz w:val="22"/>
          <w:szCs w:val="22"/>
          <w:lang w:val="en"/>
        </w:rPr>
        <w:t>et al.</w:t>
      </w:r>
      <w:r w:rsidRPr="001C72A7">
        <w:rPr>
          <w:rFonts w:eastAsia="Times New Roman" w:cs="Times New Roman"/>
          <w:noProof/>
          <w:sz w:val="22"/>
          <w:szCs w:val="22"/>
          <w:lang w:val="en"/>
        </w:rPr>
        <w:t>, 2019; FSIN, 2019)</w:t>
      </w:r>
      <w:r w:rsidRPr="001C72A7">
        <w:rPr>
          <w:rFonts w:eastAsia="Times New Roman" w:cs="Times New Roman"/>
          <w:sz w:val="22"/>
          <w:szCs w:val="22"/>
          <w:lang w:val="en"/>
        </w:rPr>
        <w:fldChar w:fldCharType="end"/>
      </w:r>
      <w:r w:rsidRPr="001C72A7">
        <w:rPr>
          <w:rFonts w:eastAsia="Times New Roman" w:cs="Times New Roman"/>
          <w:sz w:val="22"/>
          <w:szCs w:val="22"/>
          <w:lang w:val="en"/>
        </w:rPr>
        <w:t xml:space="preserve">. For sub-Saharan Africa, the situation is often compounded by civil unrest and population displacements </w:t>
      </w:r>
      <w:r w:rsidRPr="001C72A7">
        <w:rPr>
          <w:rFonts w:eastAsia="Times New Roman" w:cs="Times New Roman"/>
          <w:sz w:val="22"/>
          <w:szCs w:val="22"/>
          <w:lang w:val="en"/>
        </w:rPr>
        <w:fldChar w:fldCharType="begin" w:fldLock="1"/>
      </w:r>
      <w:r w:rsidRPr="001C72A7">
        <w:rPr>
          <w:rFonts w:eastAsia="Times New Roman" w:cs="Times New Roman"/>
          <w:sz w:val="22"/>
          <w:szCs w:val="22"/>
          <w:lang w:val="en"/>
        </w:rPr>
        <w:instrText>ADDIN CSL_CITATION {"citationItems":[{"id":"ITEM-1","itemData":{"abstract":"Extreme climate events – mainly drought – were also major triggers of food crises in 23 countries with over 39 million food-insecure people in need of urgent assistance in 2017.","author":[{"dropping-particle":"","family":"FSIN","given":"","non-dropping-particle":"","parse-names":false,"suffix":""}],"container-title":"Food Security Information Network","id":"ITEM-1","issued":{"date-parts":[["2018"]]},"page":"202","title":"Global Report on Food Crisis 2018","type":"article-journal"},"uris":["http://www.mendeley.com/documents/?uuid=daab04a1-7b78-45b7-a815-d227b7e94ef1"]},{"id":"ITEM-2","itemData":{"DOI":"ISSN 1728-9246","ISBN":"9788578110796","ISSN":"1098-6596","PMID":"25246403","abstract":"Currently, the world is faced with an unprecedented call for action at a moment in which four countries have been identified as at risk of famine, and demand for humanitarian and resilience assistance is escalating. Against this background, informing the global and national food security community on the risk of food crises and on the severity of such crises is of fundamental importance. In recent years, stakeholders have made major investments to improve food security analysis and related early warning systems in order to prevent and tackle food crises more efficiently. Although significant improvements have been made over time in the methods and technologies used to improve the quality and timeliness of food security assessments and monitoring systems, a comprehensive global pictures of food crises is still often missing. Partial geographical coverage and a lack of comparable data within a standardised system make it difficult to get a full global picture of food crises at any given time. The European Union, WFP and FAO have joined forces to coordinate the compilation of analyses to increase the impact of humanitarian and resilience responses through the preparation of the “Global report on Food Crises”. The Global Report enhances coordination and decision-making through a neutral analysis that informs program planning and implementation. The key objective and strength of the report is to establish a consultative and consensus-based process to compile food insecurity analysis from throughout the world into a global public product to inform annual planning and resource allocation decisions. Technical, operational and financial partners require evidence-based information to ensure appropriate planning and resources to tackle the consequences of food security crises within an evolving humanitarian financing landscape. The World Humanitarian Summit has prompted a major rethink of the way response financing is delivered in crisis settings, highlighting the need for more long-term development investments to address risk, prevent crises and build resilience. Since 2013, the European Commission has worked to develop ways to compare and clarify the results of food security analyses across partners and geographical areas to provide a comprehensive overview of the global food security situation. In 2015, the Joint Research Centre of the European Commission (ECJRC) produced an annual report on food insecurity hotspots to inform decisions on food crisis allocation…","author":[{"dropping-particle":"","family":"FSIN","given":"","non-dropping-particle":"","parse-names":false,"suffix":""}],"container-title":"World Food Programme","id":"ITEM-2","issued":{"date-parts":[["2019"]]},"title":"Global Report on Food Crises 2019","type":"report"},"uris":["http://www.mendeley.com/documents/?uuid=f9be4e4f-6093-43c4-9996-c35cc659ab71"]}],"mendeley":{"formattedCitation":"(FSIN, 2018, 2019)","plainTextFormattedCitation":"(FSIN, 2018, 2019)","previouslyFormattedCitation":"(FSIN, 2018, 2019)"},"properties":{"noteIndex":0},"schema":"https://github.com/citation-style-language/schema/raw/master/csl-citation.json"}</w:instrText>
      </w:r>
      <w:r w:rsidRPr="001C72A7">
        <w:rPr>
          <w:rFonts w:eastAsia="Times New Roman" w:cs="Times New Roman"/>
          <w:sz w:val="22"/>
          <w:szCs w:val="22"/>
          <w:lang w:val="en"/>
        </w:rPr>
        <w:fldChar w:fldCharType="separate"/>
      </w:r>
      <w:r w:rsidRPr="001C72A7">
        <w:rPr>
          <w:rFonts w:eastAsia="Times New Roman" w:cs="Times New Roman"/>
          <w:noProof/>
          <w:sz w:val="22"/>
          <w:szCs w:val="22"/>
          <w:lang w:val="en"/>
        </w:rPr>
        <w:t>(FSIN, 2018, 2019)</w:t>
      </w:r>
      <w:r w:rsidRPr="001C72A7">
        <w:rPr>
          <w:rFonts w:eastAsia="Times New Roman" w:cs="Times New Roman"/>
          <w:sz w:val="22"/>
          <w:szCs w:val="22"/>
          <w:lang w:val="en"/>
        </w:rPr>
        <w:fldChar w:fldCharType="end"/>
      </w:r>
      <w:r w:rsidRPr="001C72A7">
        <w:rPr>
          <w:rFonts w:eastAsia="Times New Roman" w:cs="Times New Roman"/>
          <w:sz w:val="22"/>
          <w:szCs w:val="22"/>
          <w:lang w:val="en"/>
        </w:rPr>
        <w:t xml:space="preserve">. The elements of this pathway are briefly highlighted below. </w:t>
      </w:r>
    </w:p>
    <w:p w:rsidR="001C72A7" w:rsidRPr="001C72A7" w:rsidRDefault="001C72A7" w:rsidP="001C72A7">
      <w:pPr>
        <w:spacing w:line="360" w:lineRule="auto"/>
        <w:rPr>
          <w:rFonts w:eastAsia="Times New Roman" w:cs="Times New Roman"/>
          <w:sz w:val="22"/>
          <w:szCs w:val="22"/>
          <w:highlight w:val="white"/>
          <w:lang w:val="en"/>
        </w:rPr>
      </w:pPr>
      <w:r w:rsidRPr="001C72A7">
        <w:rPr>
          <w:rFonts w:eastAsia="Times New Roman" w:cs="Times New Roman"/>
          <w:i/>
          <w:sz w:val="22"/>
          <w:szCs w:val="22"/>
          <w:highlight w:val="white"/>
          <w:lang w:val="en"/>
        </w:rPr>
        <w:t>Conflict and Civil Unrest.</w:t>
      </w:r>
      <w:r w:rsidRPr="001C72A7">
        <w:rPr>
          <w:rFonts w:eastAsia="Times New Roman" w:cs="Times New Roman"/>
          <w:b/>
          <w:sz w:val="22"/>
          <w:szCs w:val="22"/>
          <w:highlight w:val="white"/>
          <w:lang w:val="en"/>
        </w:rPr>
        <w:t xml:space="preserve"> </w:t>
      </w:r>
      <w:r w:rsidRPr="001C72A7">
        <w:rPr>
          <w:rFonts w:eastAsia="Times New Roman" w:cs="Times New Roman"/>
          <w:sz w:val="22"/>
          <w:szCs w:val="22"/>
          <w:highlight w:val="white"/>
          <w:lang w:val="en"/>
        </w:rPr>
        <w:t>C</w:t>
      </w:r>
      <w:r w:rsidRPr="001C72A7">
        <w:rPr>
          <w:rFonts w:eastAsia="Times New Roman" w:cs="Times New Roman"/>
          <w:sz w:val="22"/>
          <w:szCs w:val="22"/>
          <w:lang w:val="en"/>
        </w:rPr>
        <w:t xml:space="preserve">onflict, civil unrest, and insecurity continue to be the primary drivers of food insecurity affecting about two billion people across the world, with one in four children in the world living in a country impacted by conflict or disaster </w:t>
      </w:r>
      <w:r w:rsidRPr="001C72A7">
        <w:rPr>
          <w:rFonts w:eastAsia="Times New Roman" w:cs="Times New Roman"/>
          <w:sz w:val="22"/>
          <w:szCs w:val="22"/>
          <w:lang w:val="en"/>
        </w:rPr>
        <w:fldChar w:fldCharType="begin" w:fldLock="1"/>
      </w:r>
      <w:r w:rsidRPr="001C72A7">
        <w:rPr>
          <w:rFonts w:eastAsia="Times New Roman" w:cs="Times New Roman"/>
          <w:sz w:val="22"/>
          <w:szCs w:val="22"/>
          <w:lang w:val="en"/>
        </w:rPr>
        <w:instrText>ADDIN CSL_CITATION {"citationItems":[{"id":"ITEM-1","itemData":{"author":[{"dropping-particle":"","family":"UNOCHA","given":"","non-dropping-particle":"","parse-names":false,"suffix":""}],"id":"ITEM-1","issued":{"date-parts":[["2019"]]},"title":"United nations coordinated support to people affected by disaster and conflict","type":"report"},"uris":["http://www.mendeley.com/documents/?uuid=fa492d91-de49-412c-8102-fa8882500260"]},{"id":"ITEM-2","itemData":{"ISBN":"9789251315705","author":[{"dropping-particle":"","family":"FAO","given":"","non-dropping-particle":"","parse-names":false,"suffix":""},{"dropping-particle":"","family":"IFAD","given":"","non-dropping-particle":"","parse-names":false,"suffix":""},{"dropping-particle":"","family":"UNICEF","given":"","non-dropping-particle":"","parse-names":false,"suffix":""},{"dropping-particle":"","family":"WFP","given":"","non-dropping-particle":"","parse-names":false,"suffix":""},{"dropping-particle":"","family":"WHO","given":"","non-dropping-particle":"","parse-names":false,"suffix":""}],"id":"ITEM-2","issued":{"date-parts":[["2019"]]},"publisher":"FOOD &amp; AGRICULTURE ORG","publisher-place":"Rome","title":"The state of food security and nutrition in the world 2019: Safeguarding against economic slowdowns and downturns.","type":"report"},"uris":["http://www.mendeley.com/documents/?uuid=6e0a38e7-727d-3a80-9ca3-9dc126c56d8e"]}],"mendeley":{"formattedCitation":"(FAO &lt;i&gt;et al.&lt;/i&gt;, 2019; UNOCHA, 2019)","plainTextFormattedCitation":"(FAO et al., 2019; UNOCHA, 2019)","previouslyFormattedCitation":"(FAO &lt;i&gt;et al.&lt;/i&gt;, 2019; UNOCHA, 2019)"},"properties":{"noteIndex":0},"schema":"https://github.com/citation-style-language/schema/raw/master/csl-citation.json"}</w:instrText>
      </w:r>
      <w:r w:rsidRPr="001C72A7">
        <w:rPr>
          <w:rFonts w:eastAsia="Times New Roman" w:cs="Times New Roman"/>
          <w:sz w:val="22"/>
          <w:szCs w:val="22"/>
          <w:lang w:val="en"/>
        </w:rPr>
        <w:fldChar w:fldCharType="separate"/>
      </w:r>
      <w:r w:rsidRPr="001C72A7">
        <w:rPr>
          <w:rFonts w:eastAsia="Times New Roman" w:cs="Times New Roman"/>
          <w:noProof/>
          <w:sz w:val="22"/>
          <w:szCs w:val="22"/>
          <w:lang w:val="en"/>
        </w:rPr>
        <w:t xml:space="preserve">(FAO </w:t>
      </w:r>
      <w:r w:rsidRPr="001C72A7">
        <w:rPr>
          <w:rFonts w:eastAsia="Times New Roman" w:cs="Times New Roman"/>
          <w:i/>
          <w:noProof/>
          <w:sz w:val="22"/>
          <w:szCs w:val="22"/>
          <w:lang w:val="en"/>
        </w:rPr>
        <w:t>et al.</w:t>
      </w:r>
      <w:r w:rsidRPr="001C72A7">
        <w:rPr>
          <w:rFonts w:eastAsia="Times New Roman" w:cs="Times New Roman"/>
          <w:noProof/>
          <w:sz w:val="22"/>
          <w:szCs w:val="22"/>
          <w:lang w:val="en"/>
        </w:rPr>
        <w:t>, 2019; UNOCHA, 2019)</w:t>
      </w:r>
      <w:r w:rsidRPr="001C72A7">
        <w:rPr>
          <w:rFonts w:eastAsia="Times New Roman" w:cs="Times New Roman"/>
          <w:sz w:val="22"/>
          <w:szCs w:val="22"/>
          <w:lang w:val="en"/>
        </w:rPr>
        <w:fldChar w:fldCharType="end"/>
      </w:r>
      <w:r w:rsidRPr="001C72A7">
        <w:rPr>
          <w:rFonts w:eastAsia="Times New Roman" w:cs="Times New Roman"/>
          <w:sz w:val="22"/>
          <w:szCs w:val="22"/>
          <w:lang w:val="en"/>
        </w:rPr>
        <w:t xml:space="preserve">. In the year 2017, the 18 countries with the most food insecure people were ones that experienced conflict and more than half of these countries were in Africa including Nigeria (northern region), Democratic Republic of Congo, Somalia, and South Sudan </w:t>
      </w:r>
      <w:r w:rsidRPr="001C72A7">
        <w:rPr>
          <w:rFonts w:eastAsia="Times New Roman" w:cs="Times New Roman"/>
          <w:sz w:val="22"/>
          <w:szCs w:val="22"/>
          <w:lang w:val="en"/>
        </w:rPr>
        <w:fldChar w:fldCharType="begin" w:fldLock="1"/>
      </w:r>
      <w:r w:rsidRPr="001C72A7">
        <w:rPr>
          <w:rFonts w:eastAsia="Times New Roman" w:cs="Times New Roman"/>
          <w:sz w:val="22"/>
          <w:szCs w:val="22"/>
          <w:lang w:val="en"/>
        </w:rPr>
        <w:instrText>ADDIN CSL_CITATION {"citationItems":[{"id":"ITEM-1","itemData":{"abstract":"Extreme climate events – mainly drought – were also major triggers of food crises in 23 countries with over 39 million food-insecure people in need of urgent assistance in 2017.","author":[{"dropping-particle":"","family":"FSIN","given":"","non-dropping-particle":"","parse-names":false,"suffix":""}],"container-title":"Food Security Information Network","id":"ITEM-1","issued":{"date-parts":[["2018"]]},"page":"202","title":"Global Report on Food Crisis 2018","type":"article-journal"},"uris":["http://www.mendeley.com/documents/?uuid=daab04a1-7b78-45b7-a815-d227b7e94ef1"]}],"mendeley":{"formattedCitation":"(FSIN, 2018)","plainTextFormattedCitation":"(FSIN, 2018)","previouslyFormattedCitation":"(FSIN, 2018)"},"properties":{"noteIndex":0},"schema":"https://github.com/citation-style-language/schema/raw/master/csl-citation.json"}</w:instrText>
      </w:r>
      <w:r w:rsidRPr="001C72A7">
        <w:rPr>
          <w:rFonts w:eastAsia="Times New Roman" w:cs="Times New Roman"/>
          <w:sz w:val="22"/>
          <w:szCs w:val="22"/>
          <w:lang w:val="en"/>
        </w:rPr>
        <w:fldChar w:fldCharType="separate"/>
      </w:r>
      <w:r w:rsidRPr="001C72A7">
        <w:rPr>
          <w:rFonts w:eastAsia="Times New Roman" w:cs="Times New Roman"/>
          <w:noProof/>
          <w:sz w:val="22"/>
          <w:szCs w:val="22"/>
          <w:lang w:val="en"/>
        </w:rPr>
        <w:t>(FSIN, 2018)</w:t>
      </w:r>
      <w:r w:rsidRPr="001C72A7">
        <w:rPr>
          <w:rFonts w:eastAsia="Times New Roman" w:cs="Times New Roman"/>
          <w:sz w:val="22"/>
          <w:szCs w:val="22"/>
          <w:lang w:val="en"/>
        </w:rPr>
        <w:fldChar w:fldCharType="end"/>
      </w:r>
      <w:r w:rsidRPr="001C72A7">
        <w:rPr>
          <w:rFonts w:eastAsia="Times New Roman" w:cs="Times New Roman"/>
          <w:sz w:val="22"/>
          <w:szCs w:val="22"/>
          <w:lang w:val="en"/>
        </w:rPr>
        <w:t xml:space="preserve">. </w:t>
      </w:r>
      <w:r w:rsidRPr="001C72A7">
        <w:rPr>
          <w:rFonts w:eastAsia="Times New Roman" w:cs="Times New Roman"/>
          <w:sz w:val="22"/>
          <w:szCs w:val="22"/>
          <w:highlight w:val="white"/>
          <w:lang w:val="en"/>
        </w:rPr>
        <w:t xml:space="preserve">The situation in countries experiencing protracted civil unrest is further exacerbated by a breakdown of social order, disrupted farming, compromised infrastructure, and outbreaks of diseases such as cholera, diarrhea, and malaria </w:t>
      </w:r>
      <w:r w:rsidRPr="001C72A7">
        <w:rPr>
          <w:rFonts w:eastAsia="Times New Roman" w:cs="Times New Roman"/>
          <w:sz w:val="22"/>
          <w:szCs w:val="22"/>
          <w:highlight w:val="white"/>
          <w:lang w:val="en"/>
        </w:rPr>
        <w:fldChar w:fldCharType="begin" w:fldLock="1"/>
      </w:r>
      <w:r w:rsidRPr="001C72A7">
        <w:rPr>
          <w:rFonts w:eastAsia="Times New Roman" w:cs="Times New Roman"/>
          <w:sz w:val="22"/>
          <w:szCs w:val="22"/>
          <w:highlight w:val="white"/>
          <w:lang w:val="en"/>
        </w:rPr>
        <w:instrText>ADDIN CSL_CITATION {"citationItems":[{"id":"ITEM-1","itemData":{"DOI":"ISSN 1728-9246","ISBN":"9788578110796","ISSN":"1098-6596","PMID":"25246403","abstract":"Currently, the world is faced with an unprecedented call for action at a moment in which four countries have been identified as at risk of famine, and demand for humanitarian and resilience assistance is escalating. Against this background, informing the global and national food security community on the risk of food crises and on the severity of such crises is of fundamental importance. In recent years, stakeholders have made major investments to improve food security analysis and related early warning systems in order to prevent and tackle food crises more efficiently. Although significant improvements have been made over time in the methods and technologies used to improve the quality and timeliness of food security assessments and monitoring systems, a comprehensive global pictures of food crises is still often missing. Partial geographical coverage and a lack of comparable data within a standardised system make it difficult to get a full global picture of food crises at any given time. The European Union, WFP and FAO have joined forces to coordinate the compilation of analyses to increase the impact of humanitarian and resilience responses through the preparation of the “Global report on Food Crises”. The Global Report enhances coordination and decision-making through a neutral analysis that informs program planning and implementation. The key objective and strength of the report is to establish a consultative and consensus-based process to compile food insecurity analysis from throughout the world into a global public product to inform annual planning and resource allocation decisions. Technical, operational and financial partners require evidence-based information to ensure appropriate planning and resources to tackle the consequences of food security crises within an evolving humanitarian financing landscape. The World Humanitarian Summit has prompted a major rethink of the way response financing is delivered in crisis settings, highlighting the need for more long-term development investments to address risk, prevent crises and build resilience. Since 2013, the European Commission has worked to develop ways to compare and clarify the results of food security analyses across partners and geographical areas to provide a comprehensive overview of the global food security situation. In 2015, the Joint Research Centre of the European Commission (ECJRC) produced an annual report on food insecurity hotspots to inform decisions on food crisis allocation…","author":[{"dropping-particle":"","family":"FSIN","given":"","non-dropping-particle":"","parse-names":false,"suffix":""}],"container-title":"World Food Programme","id":"ITEM-1","issued":{"date-parts":[["2019"]]},"title":"Global Report on Food Crises 2019","type":"report"},"uris":["http://www.mendeley.com/documents/?uuid=f9be4e4f-6093-43c4-9996-c35cc659ab71"]}],"mendeley":{"formattedCitation":"(FSIN, 2019)","plainTextFormattedCitation":"(FSIN, 2019)","previouslyFormattedCitation":"(FSIN, 2019)"},"properties":{"noteIndex":0},"schema":"https://github.com/citation-style-language/schema/raw/master/csl-citation.json"}</w:instrText>
      </w:r>
      <w:r w:rsidRPr="001C72A7">
        <w:rPr>
          <w:rFonts w:eastAsia="Times New Roman" w:cs="Times New Roman"/>
          <w:sz w:val="22"/>
          <w:szCs w:val="22"/>
          <w:highlight w:val="white"/>
          <w:lang w:val="en"/>
        </w:rPr>
        <w:fldChar w:fldCharType="separate"/>
      </w:r>
      <w:r w:rsidRPr="001C72A7">
        <w:rPr>
          <w:rFonts w:eastAsia="Times New Roman" w:cs="Times New Roman"/>
          <w:noProof/>
          <w:sz w:val="22"/>
          <w:szCs w:val="22"/>
          <w:highlight w:val="white"/>
          <w:lang w:val="en"/>
        </w:rPr>
        <w:t>(FSIN, 2019)</w:t>
      </w:r>
      <w:r w:rsidRPr="001C72A7">
        <w:rPr>
          <w:rFonts w:eastAsia="Times New Roman" w:cs="Times New Roman"/>
          <w:sz w:val="22"/>
          <w:szCs w:val="22"/>
          <w:highlight w:val="white"/>
          <w:lang w:val="en"/>
        </w:rPr>
        <w:fldChar w:fldCharType="end"/>
      </w:r>
      <w:r w:rsidRPr="001C72A7">
        <w:rPr>
          <w:rFonts w:eastAsia="Times New Roman" w:cs="Times New Roman"/>
          <w:sz w:val="22"/>
          <w:szCs w:val="22"/>
          <w:highlight w:val="white"/>
          <w:lang w:val="en"/>
        </w:rPr>
        <w:t xml:space="preserve">. </w:t>
      </w:r>
    </w:p>
    <w:p w:rsidR="001C72A7" w:rsidRPr="001C72A7" w:rsidRDefault="001C72A7" w:rsidP="001C72A7">
      <w:pPr>
        <w:spacing w:line="360" w:lineRule="auto"/>
        <w:rPr>
          <w:rFonts w:eastAsia="Times New Roman" w:cs="Times New Roman"/>
          <w:b/>
          <w:sz w:val="22"/>
          <w:szCs w:val="22"/>
          <w:lang w:val="en"/>
        </w:rPr>
      </w:pPr>
      <w:r w:rsidRPr="001C72A7">
        <w:rPr>
          <w:rFonts w:eastAsia="Times New Roman" w:cs="Times New Roman"/>
          <w:i/>
          <w:sz w:val="22"/>
          <w:szCs w:val="22"/>
          <w:highlight w:val="white"/>
          <w:lang w:val="en"/>
        </w:rPr>
        <w:t>Natural Disasters and Climate Change.</w:t>
      </w:r>
      <w:r w:rsidRPr="001C72A7">
        <w:rPr>
          <w:rFonts w:eastAsia="Times New Roman" w:cs="Times New Roman"/>
          <w:sz w:val="22"/>
          <w:szCs w:val="22"/>
          <w:highlight w:val="white"/>
          <w:lang w:val="en"/>
        </w:rPr>
        <w:t xml:space="preserve"> Climate change has been linked to intensified disasters such as droughts, floods, and tropical cyclones. In 2018, almost 29 million people were propelled into food insecurity due to climate change induced natural disasters with the most numbers being in Africa, where an estimated 32 million people faced acute food insecurity </w:t>
      </w:r>
      <w:r w:rsidRPr="001C72A7">
        <w:rPr>
          <w:rFonts w:eastAsia="Times New Roman" w:cs="Times New Roman"/>
          <w:sz w:val="22"/>
          <w:szCs w:val="22"/>
          <w:highlight w:val="white"/>
          <w:lang w:val="en"/>
        </w:rPr>
        <w:fldChar w:fldCharType="begin" w:fldLock="1"/>
      </w:r>
      <w:r w:rsidRPr="001C72A7">
        <w:rPr>
          <w:rFonts w:eastAsia="Times New Roman" w:cs="Times New Roman"/>
          <w:sz w:val="22"/>
          <w:szCs w:val="22"/>
          <w:highlight w:val="white"/>
          <w:lang w:val="en"/>
        </w:rPr>
        <w:instrText>ADDIN CSL_CITATION {"citationItems":[{"id":"ITEM-1","itemData":{"DOI":"ISSN 1728-9246","ISBN":"9788578110796","ISSN":"1098-6596","PMID":"25246403","abstract":"Currently, the world is faced with an unprecedented call for action at a moment in which four countries have been identified as at risk of famine, and demand for humanitarian and resilience assistance is escalating. Against this background, informing the global and national food security community on the risk of food crises and on the severity of such crises is of fundamental importance. In recent years, stakeholders have made major investments to improve food security analysis and related early warning systems in order to prevent and tackle food crises more efficiently. Although significant improvements have been made over time in the methods and technologies used to improve the quality and timeliness of food security assessments and monitoring systems, a comprehensive global pictures of food crises is still often missing. Partial geographical coverage and a lack of comparable data within a standardised system make it difficult to get a full global picture of food crises at any given time. The European Union, WFP and FAO have joined forces to coordinate the compilation of analyses to increase the impact of humanitarian and resilience responses through the preparation of the “Global report on Food Crises”. The Global Report enhances coordination and decision-making through a neutral analysis that informs program planning and implementation. The key objective and strength of the report is to establish a consultative and consensus-based process to compile food insecurity analysis from throughout the world into a global public product to inform annual planning and resource allocation decisions. Technical, operational and financial partners require evidence-based information to ensure appropriate planning and resources to tackle the consequences of food security crises within an evolving humanitarian financing landscape. The World Humanitarian Summit has prompted a major rethink of the way response financing is delivered in crisis settings, highlighting the need for more long-term development investments to address risk, prevent crises and build resilience. Since 2013, the European Commission has worked to develop ways to compare and clarify the results of food security analyses across partners and geographical areas to provide a comprehensive overview of the global food security situation. In 2015, the Joint Research Centre of the European Commission (ECJRC) produced an annual report on food insecurity hotspots to inform decisions on food crisis allocation…","author":[{"dropping-particle":"","family":"FSIN","given":"","non-dropping-particle":"","parse-names":false,"suffix":""}],"container-title":"World Food Programme","id":"ITEM-1","issued":{"date-parts":[["2019"]]},"title":"Global Report on Food Crises 2019","type":"report"},"uris":["http://www.mendeley.com/documents/?uuid=f9be4e4f-6093-43c4-9996-c35cc659ab71"]}],"mendeley":{"formattedCitation":"(FSIN, 2019)","plainTextFormattedCitation":"(FSIN, 2019)","previouslyFormattedCitation":"(FSIN, 2019)"},"properties":{"noteIndex":0},"schema":"https://github.com/citation-style-language/schema/raw/master/csl-citation.json"}</w:instrText>
      </w:r>
      <w:r w:rsidRPr="001C72A7">
        <w:rPr>
          <w:rFonts w:eastAsia="Times New Roman" w:cs="Times New Roman"/>
          <w:sz w:val="22"/>
          <w:szCs w:val="22"/>
          <w:highlight w:val="white"/>
          <w:lang w:val="en"/>
        </w:rPr>
        <w:fldChar w:fldCharType="separate"/>
      </w:r>
      <w:r w:rsidRPr="001C72A7">
        <w:rPr>
          <w:rFonts w:eastAsia="Times New Roman" w:cs="Times New Roman"/>
          <w:noProof/>
          <w:sz w:val="22"/>
          <w:szCs w:val="22"/>
          <w:highlight w:val="white"/>
          <w:lang w:val="en"/>
        </w:rPr>
        <w:t>(FSIN, 2019)</w:t>
      </w:r>
      <w:r w:rsidRPr="001C72A7">
        <w:rPr>
          <w:rFonts w:eastAsia="Times New Roman" w:cs="Times New Roman"/>
          <w:sz w:val="22"/>
          <w:szCs w:val="22"/>
          <w:highlight w:val="white"/>
          <w:lang w:val="en"/>
        </w:rPr>
        <w:fldChar w:fldCharType="end"/>
      </w:r>
      <w:r w:rsidRPr="001C72A7">
        <w:rPr>
          <w:rFonts w:eastAsia="Times New Roman" w:cs="Times New Roman"/>
          <w:sz w:val="22"/>
          <w:szCs w:val="22"/>
          <w:highlight w:val="white"/>
          <w:lang w:val="en"/>
        </w:rPr>
        <w:t xml:space="preserve">.  Women and children are especially susceptible to food insecurity. Furthermore, the 2018 Intergovernmental Panel on Climate Change (IPCC) special report warned of medium to high risk of global warming impact in southern Africa </w:t>
      </w:r>
      <w:r w:rsidRPr="001C72A7">
        <w:rPr>
          <w:rFonts w:eastAsia="Times New Roman" w:cs="Times New Roman"/>
          <w:sz w:val="22"/>
          <w:szCs w:val="22"/>
          <w:highlight w:val="white"/>
          <w:lang w:val="en"/>
        </w:rPr>
        <w:fldChar w:fldCharType="begin" w:fldLock="1"/>
      </w:r>
      <w:r w:rsidRPr="001C72A7">
        <w:rPr>
          <w:rFonts w:eastAsia="Times New Roman" w:cs="Times New Roman"/>
          <w:sz w:val="22"/>
          <w:szCs w:val="22"/>
          <w:highlight w:val="white"/>
          <w:lang w:val="en"/>
        </w:rPr>
        <w:instrText>ADDIN CSL_CITATION {"citationItems":[{"id":"ITEM-1","itemData":{"author":[{"dropping-particle":"","family":"IPCC","given":"","non-dropping-particle":"","parse-names":false,"suffix":""}],"container-title":"IPCC Special Report on Climate Change, Desertification, Land Degradation, Sustainable Land Management, Food Security, and Greenhouse gas fluxes in Terrestrial Ecosystems","id":"ITEM-1","issued":{"date-parts":[["2018"]]},"number-of-pages":"1-164","title":"Chapter 5: Food Security","type":"report"},"uris":["http://www.mendeley.com/documents/?uuid=68ac0b95-38ca-494b-93cd-c3ec54d57f5c"]}],"mendeley":{"formattedCitation":"(IPCC, 2018)","plainTextFormattedCitation":"(IPCC, 2018)","previouslyFormattedCitation":"(IPCC, 2018)"},"properties":{"noteIndex":0},"schema":"https://github.com/citation-style-language/schema/raw/master/csl-citation.json"}</w:instrText>
      </w:r>
      <w:r w:rsidRPr="001C72A7">
        <w:rPr>
          <w:rFonts w:eastAsia="Times New Roman" w:cs="Times New Roman"/>
          <w:sz w:val="22"/>
          <w:szCs w:val="22"/>
          <w:highlight w:val="white"/>
          <w:lang w:val="en"/>
        </w:rPr>
        <w:fldChar w:fldCharType="separate"/>
      </w:r>
      <w:r w:rsidRPr="001C72A7">
        <w:rPr>
          <w:rFonts w:eastAsia="Times New Roman" w:cs="Times New Roman"/>
          <w:noProof/>
          <w:sz w:val="22"/>
          <w:szCs w:val="22"/>
          <w:highlight w:val="white"/>
          <w:lang w:val="en"/>
        </w:rPr>
        <w:t>(IPCC, 2018)</w:t>
      </w:r>
      <w:r w:rsidRPr="001C72A7">
        <w:rPr>
          <w:rFonts w:eastAsia="Times New Roman" w:cs="Times New Roman"/>
          <w:sz w:val="22"/>
          <w:szCs w:val="22"/>
          <w:highlight w:val="white"/>
          <w:lang w:val="en"/>
        </w:rPr>
        <w:fldChar w:fldCharType="end"/>
      </w:r>
      <w:r w:rsidRPr="001C72A7">
        <w:rPr>
          <w:rFonts w:eastAsia="Times New Roman" w:cs="Times New Roman"/>
          <w:sz w:val="22"/>
          <w:szCs w:val="22"/>
          <w:highlight w:val="white"/>
          <w:lang w:val="en"/>
        </w:rPr>
        <w:t xml:space="preserve">. The effects of climate change on food security in the region are exacerbated by desertification and rapid depletion of arable land. About 70% of the inhabitants of sub-Saharan Africa continue to rely on land for their basic livelihood, exerting pressures on an already strained land base. Closely related to this is prevalence of droughts and famines as the primary triggers of food crises in sub-Saharan Africa </w:t>
      </w:r>
      <w:r w:rsidRPr="001C72A7">
        <w:rPr>
          <w:rFonts w:eastAsia="Times New Roman" w:cs="Times New Roman"/>
          <w:sz w:val="22"/>
          <w:szCs w:val="22"/>
          <w:highlight w:val="white"/>
          <w:lang w:val="en"/>
        </w:rPr>
        <w:fldChar w:fldCharType="begin" w:fldLock="1"/>
      </w:r>
      <w:r w:rsidRPr="001C72A7">
        <w:rPr>
          <w:rFonts w:eastAsia="Times New Roman" w:cs="Times New Roman"/>
          <w:sz w:val="22"/>
          <w:szCs w:val="22"/>
          <w:highlight w:val="white"/>
          <w:lang w:val="en"/>
        </w:rPr>
        <w:instrText>ADDIN CSL_CITATION {"citationItems":[{"id":"ITEM-1","itemData":{"abstract":"Extreme climate events – mainly drought – were also major triggers of food crises in 23 countries with over 39 million food-insecure people in need of urgent assistance in 2017.","author":[{"dropping-particle":"","family":"FSIN","given":"","non-dropping-particle":"","parse-names":false,"suffix":""}],"container-title":"Food Security Information Network","id":"ITEM-1","issued":{"date-parts":[["2018"]]},"page":"202","title":"Global Report on Food Crisis 2018","type":"article-journal"},"uris":["http://www.mendeley.com/documents/?uuid=daab04a1-7b78-45b7-a815-d227b7e94ef1"]}],"mendeley":{"formattedCitation":"(FSIN, 2018)","plainTextFormattedCitation":"(FSIN, 2018)","previouslyFormattedCitation":"(FSIN, 2018)"},"properties":{"noteIndex":0},"schema":"https://github.com/citation-style-language/schema/raw/master/csl-citation.json"}</w:instrText>
      </w:r>
      <w:r w:rsidRPr="001C72A7">
        <w:rPr>
          <w:rFonts w:eastAsia="Times New Roman" w:cs="Times New Roman"/>
          <w:sz w:val="22"/>
          <w:szCs w:val="22"/>
          <w:highlight w:val="white"/>
          <w:lang w:val="en"/>
        </w:rPr>
        <w:fldChar w:fldCharType="separate"/>
      </w:r>
      <w:r w:rsidRPr="001C72A7">
        <w:rPr>
          <w:rFonts w:eastAsia="Times New Roman" w:cs="Times New Roman"/>
          <w:noProof/>
          <w:sz w:val="22"/>
          <w:szCs w:val="22"/>
          <w:highlight w:val="white"/>
          <w:lang w:val="en"/>
        </w:rPr>
        <w:t>(FSIN, 2018)</w:t>
      </w:r>
      <w:r w:rsidRPr="001C72A7">
        <w:rPr>
          <w:rFonts w:eastAsia="Times New Roman" w:cs="Times New Roman"/>
          <w:sz w:val="22"/>
          <w:szCs w:val="22"/>
          <w:highlight w:val="white"/>
          <w:lang w:val="en"/>
        </w:rPr>
        <w:fldChar w:fldCharType="end"/>
      </w:r>
      <w:r w:rsidRPr="001C72A7">
        <w:rPr>
          <w:rFonts w:eastAsia="Times New Roman" w:cs="Times New Roman"/>
          <w:sz w:val="22"/>
          <w:szCs w:val="22"/>
          <w:highlight w:val="white"/>
          <w:lang w:val="en"/>
        </w:rPr>
        <w:t>. Furthermore,</w:t>
      </w:r>
      <w:r w:rsidRPr="001C72A7">
        <w:rPr>
          <w:rFonts w:eastAsia="Times New Roman" w:cs="Times New Roman"/>
          <w:sz w:val="22"/>
          <w:szCs w:val="22"/>
          <w:lang w:val="en"/>
        </w:rPr>
        <w:t xml:space="preserve"> floods and other climate related disasters have been linked to the displaceme</w:t>
      </w:r>
      <w:r w:rsidRPr="00215F0B">
        <w:rPr>
          <w:rFonts w:eastAsia="Times New Roman" w:cs="Times New Roman"/>
          <w:sz w:val="22"/>
          <w:szCs w:val="22"/>
          <w:lang w:val="en"/>
        </w:rPr>
        <w:t xml:space="preserve">nt of </w:t>
      </w:r>
      <w:r w:rsidRPr="001C72A7">
        <w:rPr>
          <w:rFonts w:eastAsia="Times New Roman" w:cs="Times New Roman"/>
          <w:sz w:val="22"/>
          <w:szCs w:val="22"/>
          <w:lang w:val="en"/>
        </w:rPr>
        <w:t xml:space="preserve">roughly 230,000 people in Malawi, 50,000 in Mozambique, and 39,000 in Madagascar, exacerbating challenges to livelihood. In the case of north-east Kenya and southern Somalia, persistent dry conditions have been reported </w:t>
      </w:r>
      <w:r w:rsidRPr="001C72A7">
        <w:rPr>
          <w:rFonts w:eastAsia="Times New Roman" w:cs="Times New Roman"/>
          <w:sz w:val="22"/>
          <w:szCs w:val="22"/>
          <w:lang w:val="en"/>
        </w:rPr>
        <w:fldChar w:fldCharType="begin" w:fldLock="1"/>
      </w:r>
      <w:r w:rsidRPr="001C72A7">
        <w:rPr>
          <w:rFonts w:eastAsia="Times New Roman" w:cs="Times New Roman"/>
          <w:sz w:val="22"/>
          <w:szCs w:val="22"/>
          <w:lang w:val="en"/>
        </w:rPr>
        <w:instrText>ADDIN CSL_CITATION {"citationItems":[{"id":"ITEM-1","itemData":{"DOI":"10.1017/S1368980015001913","ISBN":"1368980015001","ISSN":"14752727","abstract":"OBJECTIVE: To investigate the predictors of wasting, stunting and low mid-upper arm circumference among children aged 6-59 months in Somalia using data from household cross-sectional surveys from 2007 to 2010 in order to help inform better targeting of nutritional interventions. DESIGN: Cross-sectional nutritional assessment surveys using structured interviews were conducted among communities in Somalia each year from 2007 to 2010. A two-stage cluster sampling methodology was used to select children aged 6-59 months from households across three livelihood zones (pastoral, agro-pastoral and riverine). Predictors of three anthropometric measures, weight-for-height (wasting), height-for-age (stunting) and mid-upper arm circumference, were analysed using Bayesian binomial regression, controlling for both spatial and temporal dependence in the data. SETTING: The study was conducted in randomly sampled villages, representative of three livelihood zones in Somalia. SUBJECTS: Children between the ages of 6 and 59 months in Somalia. RESULTS: The estimated national prevalence of wasting, stunting and low mid-upper arm circumference in children aged 6-59 months was 21 %, 31 % and 36 %, respectively. Although fever, diarrhoea, sex and age of the child, household size and access to foods were significant predictors of malnutrition, the strongest association was observed between all three indicators of malnutrition and the enhanced vegetation index. A 1-unit increase in enhanced vegetation index was associated with a 38 %, 49 % and 59 % reduction in wasting, stunting and low mid-upper arm circumference, respectively. CONCLUSIONS: Infection and climatic variations are likely to be key drivers of malnutrition in Somalia. Better health data and close monitoring and forecasting of droughts may provide valuable information for nutritional intervention planning in Somalia.","author":[{"dropping-particle":"","family":"Kinyoki","given":"Damaris K.","non-dropping-particle":"","parse-names":false,"suffix":""},{"dropping-particle":"","family":"Berkley","given":"James A.","non-dropping-particle":"","parse-names":false,"suffix":""},{"dropping-particle":"","family":"Moloney","given":"Grainne M.","non-dropping-particle":"","parse-names":false,"suffix":""},{"dropping-particle":"","family":"Kandala","given":"Ngianga Bakwin","non-dropping-particle":"","parse-names":false,"suffix":""},{"dropping-particle":"","family":"Noor","given":"Abdisalan M.","non-dropping-particle":"","parse-names":false,"suffix":""}],"container-title":"Public Health Nutrition","id":"ITEM-1","issue":"17","issued":{"date-parts":[["2015"]]},"page":"3125-3133","title":"Predictors of the risk of malnutrition among children under the age of 5 years in Somalia","type":"article-journal","volume":"18"},"uris":["http://www.mendeley.com/documents/?uuid=4f76f268-1df8-4709-ac41-80da9f2c2d2d"]}],"mendeley":{"formattedCitation":"(Kinyoki &lt;i&gt;et al.&lt;/i&gt;, 2015)","plainTextFormattedCitation":"(Kinyoki et al., 2015)","previouslyFormattedCitation":"(Kinyoki &lt;i&gt;et al.&lt;/i&gt;, 2015)"},"properties":{"noteIndex":0},"schema":"https://github.com/citation-style-language/schema/raw/master/csl-citation.json"}</w:instrText>
      </w:r>
      <w:r w:rsidRPr="001C72A7">
        <w:rPr>
          <w:rFonts w:eastAsia="Times New Roman" w:cs="Times New Roman"/>
          <w:sz w:val="22"/>
          <w:szCs w:val="22"/>
          <w:lang w:val="en"/>
        </w:rPr>
        <w:fldChar w:fldCharType="separate"/>
      </w:r>
      <w:r w:rsidRPr="001C72A7">
        <w:rPr>
          <w:rFonts w:eastAsia="Times New Roman" w:cs="Times New Roman"/>
          <w:noProof/>
          <w:sz w:val="22"/>
          <w:szCs w:val="22"/>
          <w:lang w:val="en"/>
        </w:rPr>
        <w:t xml:space="preserve">(Kinyoki </w:t>
      </w:r>
      <w:r w:rsidRPr="001C72A7">
        <w:rPr>
          <w:rFonts w:eastAsia="Times New Roman" w:cs="Times New Roman"/>
          <w:i/>
          <w:noProof/>
          <w:sz w:val="22"/>
          <w:szCs w:val="22"/>
          <w:lang w:val="en"/>
        </w:rPr>
        <w:t>et al.</w:t>
      </w:r>
      <w:r w:rsidRPr="001C72A7">
        <w:rPr>
          <w:rFonts w:eastAsia="Times New Roman" w:cs="Times New Roman"/>
          <w:noProof/>
          <w:sz w:val="22"/>
          <w:szCs w:val="22"/>
          <w:lang w:val="en"/>
        </w:rPr>
        <w:t>, 2015)</w:t>
      </w:r>
      <w:r w:rsidRPr="001C72A7">
        <w:rPr>
          <w:rFonts w:eastAsia="Times New Roman" w:cs="Times New Roman"/>
          <w:sz w:val="22"/>
          <w:szCs w:val="22"/>
          <w:lang w:val="en"/>
        </w:rPr>
        <w:fldChar w:fldCharType="end"/>
      </w:r>
      <w:r w:rsidRPr="001C72A7">
        <w:rPr>
          <w:rFonts w:eastAsia="Times New Roman" w:cs="Times New Roman"/>
          <w:sz w:val="22"/>
          <w:szCs w:val="22"/>
          <w:lang w:val="en"/>
        </w:rPr>
        <w:t xml:space="preserve"> potentially affecting pastoralist resources. </w:t>
      </w:r>
    </w:p>
    <w:p w:rsidR="001C72A7" w:rsidRPr="001C72A7" w:rsidRDefault="001C72A7" w:rsidP="001C72A7">
      <w:pPr>
        <w:spacing w:line="360" w:lineRule="auto"/>
        <w:rPr>
          <w:rFonts w:eastAsia="Times New Roman" w:cs="Times New Roman"/>
          <w:b/>
          <w:sz w:val="22"/>
          <w:szCs w:val="22"/>
          <w:lang w:val="en"/>
        </w:rPr>
      </w:pPr>
      <w:r w:rsidRPr="001C72A7">
        <w:rPr>
          <w:rFonts w:eastAsia="Times New Roman" w:cs="Times New Roman"/>
          <w:i/>
          <w:sz w:val="22"/>
          <w:szCs w:val="22"/>
          <w:lang w:val="en"/>
        </w:rPr>
        <w:t xml:space="preserve"> Absence of Comprehensive Agricultural/Food and Distribution Policies.</w:t>
      </w:r>
      <w:r w:rsidRPr="001C72A7">
        <w:rPr>
          <w:rFonts w:eastAsia="Times New Roman" w:cs="Times New Roman"/>
          <w:sz w:val="22"/>
          <w:szCs w:val="22"/>
          <w:lang w:val="en"/>
        </w:rPr>
        <w:t xml:space="preserve"> </w:t>
      </w:r>
    </w:p>
    <w:p w:rsidR="001C72A7" w:rsidRPr="001C72A7" w:rsidRDefault="001C72A7" w:rsidP="001C72A7">
      <w:pPr>
        <w:spacing w:line="360" w:lineRule="auto"/>
        <w:rPr>
          <w:rFonts w:eastAsia="Times New Roman" w:cs="Times New Roman"/>
          <w:sz w:val="22"/>
          <w:szCs w:val="22"/>
          <w:lang w:val="en"/>
        </w:rPr>
      </w:pPr>
      <w:r w:rsidRPr="001C72A7">
        <w:rPr>
          <w:rFonts w:eastAsia="Times New Roman" w:cs="Times New Roman"/>
          <w:sz w:val="22"/>
          <w:szCs w:val="22"/>
          <w:lang w:val="en"/>
        </w:rPr>
        <w:t xml:space="preserve">Many government-funded programs have been put in place to mitigate food insecurity and poverty in sub-Saharan Africa. Among these are Social Cash Transfer Programs (SCTP) that have been widely adopted to reduce food insecurity through increasing and maintaining purchasing power of food and agricultural products especially by vulnerable households with children </w:t>
      </w:r>
      <w:r w:rsidRPr="001C72A7">
        <w:rPr>
          <w:rFonts w:eastAsia="Times New Roman" w:cs="Times New Roman"/>
          <w:sz w:val="22"/>
          <w:szCs w:val="22"/>
          <w:lang w:val="en"/>
        </w:rPr>
        <w:fldChar w:fldCharType="begin" w:fldLock="1"/>
      </w:r>
      <w:r w:rsidRPr="001C72A7">
        <w:rPr>
          <w:rFonts w:eastAsia="Times New Roman" w:cs="Times New Roman"/>
          <w:sz w:val="22"/>
          <w:szCs w:val="22"/>
          <w:lang w:val="en"/>
        </w:rPr>
        <w:instrText>ADDIN CSL_CITATION {"citationItems":[{"id":"ITEM-1","itemData":{"ISBN":"3333333333","author":[{"dropping-particle":"","family":"CPAN","given":"","non-dropping-particle":"","parse-names":false,"suffix":""}],"id":"ITEM-1","issued":{"date-parts":[["2012"]]},"publisher-place":"London","title":"Agriculture Policy Guide, Meeting the challenge of a new pro-poor agricultural paradigm: The role of agricultural policies and programmes","type":"report"},"uris":["http://www.mendeley.com/documents/?uuid=9662a302-4d6e-48d7-bbb4-18f4eb60d4e9"]}],"mendeley":{"formattedCitation":"(CPAN, 2012)","plainTextFormattedCitation":"(CPAN, 2012)","previouslyFormattedCitation":"(CPAN, 2012)"},"properties":{"noteIndex":0},"schema":"https://github.com/citation-style-language/schema/raw/master/csl-citation.json"}</w:instrText>
      </w:r>
      <w:r w:rsidRPr="001C72A7">
        <w:rPr>
          <w:rFonts w:eastAsia="Times New Roman" w:cs="Times New Roman"/>
          <w:sz w:val="22"/>
          <w:szCs w:val="22"/>
          <w:lang w:val="en"/>
        </w:rPr>
        <w:fldChar w:fldCharType="separate"/>
      </w:r>
      <w:r w:rsidRPr="001C72A7">
        <w:rPr>
          <w:rFonts w:eastAsia="Times New Roman" w:cs="Times New Roman"/>
          <w:noProof/>
          <w:sz w:val="22"/>
          <w:szCs w:val="22"/>
          <w:lang w:val="en"/>
        </w:rPr>
        <w:t>(CPAN, 2012)</w:t>
      </w:r>
      <w:r w:rsidRPr="001C72A7">
        <w:rPr>
          <w:rFonts w:eastAsia="Times New Roman" w:cs="Times New Roman"/>
          <w:sz w:val="22"/>
          <w:szCs w:val="22"/>
          <w:lang w:val="en"/>
        </w:rPr>
        <w:fldChar w:fldCharType="end"/>
      </w:r>
      <w:r w:rsidRPr="001C72A7">
        <w:rPr>
          <w:rFonts w:eastAsia="Times New Roman" w:cs="Times New Roman"/>
          <w:sz w:val="22"/>
          <w:szCs w:val="22"/>
          <w:lang w:val="en"/>
        </w:rPr>
        <w:t xml:space="preserve">. Another example of an effective policy targeting food security is the Homestead Food Garden Program initiative introduced in 1997 in Nigeria. This initiative targets provision of training and resources for agriculture and nutrition among low-income women </w:t>
      </w:r>
      <w:r w:rsidRPr="001C72A7">
        <w:rPr>
          <w:rFonts w:eastAsia="Times New Roman" w:cs="Times New Roman"/>
          <w:sz w:val="22"/>
          <w:szCs w:val="22"/>
          <w:lang w:val="en"/>
        </w:rPr>
        <w:fldChar w:fldCharType="begin" w:fldLock="1"/>
      </w:r>
      <w:r w:rsidRPr="001C72A7">
        <w:rPr>
          <w:rFonts w:eastAsia="Times New Roman" w:cs="Times New Roman"/>
          <w:sz w:val="22"/>
          <w:szCs w:val="22"/>
          <w:lang w:val="en"/>
        </w:rPr>
        <w:instrText>ADDIN CSL_CITATION {"citationItems":[{"id":"ITEM-1","itemData":{"ISSN":"1867-8521","abstract":"Introduction: The African Union and United Nations agencies requested that children under five years and pregnant women be exempt from healthcare payment at the point of service. Indeed, this payment method is a financial barrier to healthcare access that the most vulnerable populations cannot overcome. Since Burkina Faso had not yet implemented such a policy, an experiment was undertaken starting in 2008 in two districts of the Sahel region in order to produce evidence.Methods: A research programme was organised in order to evaluate the effectiveness, equity, processes, costs and social effects of this experiment. Twelve studies were undertaken that used a concurrent mixed method design with data collected from individuals, households, health centres and villages. Results: The experiment was integrated into the health system and was fully appreciated by all. The third-party payer system was effective. Pregnant women and children under the age of five years had faster and broader access to the health system. The poorest among them substantially benefited from the intervention. The quality of care was sustained and costs were controlled.Conclusion: Since equity is a priority for the government and its financial partners, the research results suggest that exemption should be extended to the national level and that measures should be organised to break down the geographic barrier.Introduction : L?Union Africaine et les agences des Nations Unies réclament que les enfants de moins de cinq ans et les femmes enceintes soient exemptés du paiement des soins au point de service. En effet, cette modalité de paiement impose une barrière financière à l?accès aux soins que les plus vulnérables ne peuvent surmonter. Puisque le Burkina Faso ne s?est pas encore engagé dans une telle politique, une expérimentation a été mise en ?uvre depuis 2008 dans deux districts du Sahel afin de produire des preuves sur cette stratégie.Méthodes : Un programme de recherches a été organisé afin d?évaluer l?efficacité, l?équité, les processus, les coûts et les effets sociaux de cette expérimentation. Douze études ont été entreprises en ayant recours à un devis mixte concomitant usant de données collectées auprès des individus, des ménages, des centres de santé et des villages. Résultats : L?expérimentation s?est intégrée au système de santé et a été bien appréciée par tous. Le système de tiers-payeur a été efficace. Les femmes enceintes et les enfants de moins de cinq ont eu recours plus…","author":[{"dropping-particle":"","family":"Talukder","given":"A.","non-dropping-particle":"","parse-names":false,"suffix":""},{"dropping-particle":"","family":"Haselow","given":"N.","non-dropping-particle":"","parse-names":false,"suffix":""},{"dropping-particle":"","family":"Osei","given":"A.","non-dropping-particle":"","parse-names":false,"suffix":""},{"dropping-particle":"","family":"Villate","given":"E.","non-dropping-particle":"","parse-names":false,"suffix":""},{"dropping-particle":"","family":"Reario","given":"D.","non-dropping-particle":"","parse-names":false,"suffix":""},{"dropping-particle":"","family":"Kroeun","given":"H.","non-dropping-particle":"","parse-names":false,"suffix":""},{"dropping-particle":"","family":"SokHoing","given":"L.","non-dropping-particle":"","parse-names":false,"suffix":""},{"dropping-particle":"","family":"Uddin","given":"A.","non-dropping-particle":"","parse-names":false,"suffix":""},{"dropping-particle":"","family":"Dhunge","given":"S.","non-dropping-particle":"","parse-names":false,"suffix":""},{"dropping-particle":"","family":"Quinn","given":"V.","non-dropping-particle":"","parse-names":false,"suffix":""}],"container-title":"Field Actions Science Reports. The journal of field actions","id":"ITEM-1","issue":"Special Issue 1","issued":{"date-parts":[["2010"]]},"page":"0-9","title":"Homestead food production model contributes to improved household food security and nutrition status of young children and women in poor populations. lessons learned from scaling-up programs in Asia (Bangladesh, Cambodia, Nepal and Philippines)","type":"article-journal"},"uris":["http://www.mendeley.com/documents/?uuid=edc8f574-c4e1-4aaf-b529-e637f3966b61"]},{"id":"ITEM-2","itemData":{"DOI":"10.1080/09614524.2018.1512952","ISSN":"0961-4524","author":[{"dropping-particle":"","family":"Bahta","given":"Yonas T","non-dropping-particle":"","parse-names":false,"suffix":""},{"dropping-particle":"","family":"Owusu-Sekyere","given":"Enoch","non-dropping-particle":"","parse-names":false,"suffix":""},{"dropping-particle":"","family":"Tlalang","given":"Boipelo","non-dropping-particle":"","parse-names":false,"suffix":""}],"container-title":"Development in Practice","id":"ITEM-2","issue":"1","issued":{"date-parts":[["2019","1","2"]]},"note":"doi: 10.1080/09614524.2018.1512952","page":"3-14","publisher":"Routledge","title":"Does women’s empowerment through policy intervention reduce food insecurity in South Africa?","type":"article-journal","volume":"29"},"uris":["http://www.mendeley.com/documents/?uuid=6f761c5b-8106-4272-884e-abe92e98b499"]}],"mendeley":{"formattedCitation":"(Talukder &lt;i&gt;et al.&lt;/i&gt;, 2010; Bahta, Owusu-Sekyere and Tlalang, 2019)","plainTextFormattedCitation":"(Talukder et al., 2010; Bahta, Owusu-Sekyere and Tlalang, 2019)","previouslyFormattedCitation":"(Talukder &lt;i&gt;et al.&lt;/i&gt;, 2010; Bahta, Owusu-Sekyere and Tlalang, 2019)"},"properties":{"noteIndex":0},"schema":"https://github.com/citation-style-language/schema/raw/master/csl-citation.json"}</w:instrText>
      </w:r>
      <w:r w:rsidRPr="001C72A7">
        <w:rPr>
          <w:rFonts w:eastAsia="Times New Roman" w:cs="Times New Roman"/>
          <w:sz w:val="22"/>
          <w:szCs w:val="22"/>
          <w:lang w:val="en"/>
        </w:rPr>
        <w:fldChar w:fldCharType="separate"/>
      </w:r>
      <w:r w:rsidRPr="001C72A7">
        <w:rPr>
          <w:rFonts w:eastAsia="Times New Roman" w:cs="Times New Roman"/>
          <w:noProof/>
          <w:sz w:val="22"/>
          <w:szCs w:val="22"/>
          <w:lang w:val="en"/>
        </w:rPr>
        <w:t xml:space="preserve">(Talukder </w:t>
      </w:r>
      <w:r w:rsidRPr="001C72A7">
        <w:rPr>
          <w:rFonts w:eastAsia="Times New Roman" w:cs="Times New Roman"/>
          <w:i/>
          <w:noProof/>
          <w:sz w:val="22"/>
          <w:szCs w:val="22"/>
          <w:lang w:val="en"/>
        </w:rPr>
        <w:t>et al.</w:t>
      </w:r>
      <w:r w:rsidRPr="001C72A7">
        <w:rPr>
          <w:rFonts w:eastAsia="Times New Roman" w:cs="Times New Roman"/>
          <w:noProof/>
          <w:sz w:val="22"/>
          <w:szCs w:val="22"/>
          <w:lang w:val="en"/>
        </w:rPr>
        <w:t>, 2010; Bahta, Owusu-Sekyere and Tlalang, 2019)</w:t>
      </w:r>
      <w:r w:rsidRPr="001C72A7">
        <w:rPr>
          <w:rFonts w:eastAsia="Times New Roman" w:cs="Times New Roman"/>
          <w:sz w:val="22"/>
          <w:szCs w:val="22"/>
          <w:lang w:val="en"/>
        </w:rPr>
        <w:fldChar w:fldCharType="end"/>
      </w:r>
      <w:r w:rsidRPr="001C72A7">
        <w:rPr>
          <w:rFonts w:eastAsia="Times New Roman" w:cs="Times New Roman"/>
          <w:sz w:val="22"/>
          <w:szCs w:val="22"/>
          <w:lang w:val="en"/>
        </w:rPr>
        <w:t xml:space="preserve">. The government of Malawi has also implemented policies to improve food security and nutrition through dissemination of improved cook-stoves. While these policies have resulted in increased food security,  and a reduction in respiratory illnesses and greenhouse gas emissions </w:t>
      </w:r>
      <w:r w:rsidRPr="001C72A7">
        <w:rPr>
          <w:rFonts w:eastAsia="Times New Roman" w:cs="Times New Roman"/>
          <w:sz w:val="22"/>
          <w:szCs w:val="22"/>
          <w:lang w:val="en"/>
        </w:rPr>
        <w:fldChar w:fldCharType="begin" w:fldLock="1"/>
      </w:r>
      <w:r w:rsidRPr="001C72A7">
        <w:rPr>
          <w:rFonts w:eastAsia="Times New Roman" w:cs="Times New Roman"/>
          <w:sz w:val="22"/>
          <w:szCs w:val="22"/>
          <w:lang w:val="en"/>
        </w:rPr>
        <w:instrText>ADDIN CSL_CITATION {"citationItems":[{"id":"ITEM-1","itemData":{"DOI":"10.1289/ehp.1104194","ISSN":"00916765","abstract":"Background: The global focus on improved cookstoves (ICSs) and clean fuels has increased because of their potential for delivering triple dividends: household health, local environmental quality, and regional climate benefits. However, ICS and clean fuel dissemination programs have met with low rates of adoption. Objectives: We reviewed empirical studies on ICSs and fuel choice to describe the literature, examine determinants of fuel and stove choice, and identify knowledge gaps. Methods: We conducted a systematic review of the literature on the adoption of ICSs or cleaner fuels by households in developing countries. Results are synthesized through a simple vote-counting meta-analysis. Results: We identified 32 research studies that reported 146 separate regression analyses of ICS adoption (11 analyses) or fuel choice (135 analyses) from Asia (60%), Africa (27%), and Latin America (19%). Most studies apply multivariate regression methods to consider 7-13 determinants of choice. Income, education, and urban location were positively associated with adoption in most but not all studies. However, the influence of fuel availability and prices, household size and composition, and sex is unclear. Potentially important drivers such as credit, supply-chain strengthening, and social marketing have been ignored. Conclusions: Adoption studies of ICSs or clean energy are scarce, scattered, and of differential quality, even though global distribution programs are quickly expanding. Future research should examine an expanded set of contextual variables to improve implementation of stove programs that can realize the \"win-win-win\" of health, local environmental quality, and climate associated with these technologies.","author":[{"dropping-particle":"","family":"Lewis","given":"Jessica J.","non-dropping-particle":"","parse-names":false,"suffix":""},{"dropping-particle":"","family":"Pattanayak","given":"Subhrendu K.","non-dropping-particle":"","parse-names":false,"suffix":""}],"container-title":"Environmental Health Perspectives","id":"ITEM-1","issue":"5","issued":{"date-parts":[["2012"]]},"page":"637-645","title":"Who adopts improved fuels and cookstoves? A systematic review","type":"article-journal","volume":"120"},"uris":["http://www.mendeley.com/documents/?uuid=5a8e57f1-9792-4f9d-874c-2dbb0a5fbda7"]}],"mendeley":{"formattedCitation":"(Lewis and Pattanayak, 2012)","plainTextFormattedCitation":"(Lewis and Pattanayak, 2012)","previouslyFormattedCitation":"(Lewis and Pattanayak, 2012)"},"properties":{"noteIndex":0},"schema":"https://github.com/citation-style-language/schema/raw/master/csl-citation.json"}</w:instrText>
      </w:r>
      <w:r w:rsidRPr="001C72A7">
        <w:rPr>
          <w:rFonts w:eastAsia="Times New Roman" w:cs="Times New Roman"/>
          <w:sz w:val="22"/>
          <w:szCs w:val="22"/>
          <w:lang w:val="en"/>
        </w:rPr>
        <w:fldChar w:fldCharType="separate"/>
      </w:r>
      <w:r w:rsidRPr="001C72A7">
        <w:rPr>
          <w:rFonts w:eastAsia="Times New Roman" w:cs="Times New Roman"/>
          <w:noProof/>
          <w:sz w:val="22"/>
          <w:szCs w:val="22"/>
          <w:lang w:val="en"/>
        </w:rPr>
        <w:t>(Lewis and Pattanayak, 2012)</w:t>
      </w:r>
      <w:r w:rsidRPr="001C72A7">
        <w:rPr>
          <w:rFonts w:eastAsia="Times New Roman" w:cs="Times New Roman"/>
          <w:sz w:val="22"/>
          <w:szCs w:val="22"/>
          <w:lang w:val="en"/>
        </w:rPr>
        <w:fldChar w:fldCharType="end"/>
      </w:r>
      <w:r w:rsidRPr="001C72A7">
        <w:rPr>
          <w:rFonts w:eastAsia="Times New Roman" w:cs="Times New Roman"/>
          <w:sz w:val="22"/>
          <w:szCs w:val="22"/>
          <w:lang w:val="en"/>
        </w:rPr>
        <w:t xml:space="preserve">, food insecurity continues to grow, suggesting the need for more cross cutting interventions </w:t>
      </w:r>
      <w:r w:rsidRPr="001C72A7">
        <w:rPr>
          <w:rFonts w:eastAsia="Times New Roman" w:cs="Times New Roman"/>
          <w:sz w:val="22"/>
          <w:szCs w:val="22"/>
          <w:lang w:val="en"/>
        </w:rPr>
        <w:fldChar w:fldCharType="begin" w:fldLock="1"/>
      </w:r>
      <w:r w:rsidRPr="001C72A7">
        <w:rPr>
          <w:rFonts w:eastAsia="Times New Roman" w:cs="Times New Roman"/>
          <w:sz w:val="22"/>
          <w:szCs w:val="22"/>
          <w:lang w:val="en"/>
        </w:rPr>
        <w:instrText>ADDIN CSL_CITATION {"citationItems":[{"id":"ITEM-1","itemData":{"DOI":"10.1016/j.worlddev.2017.10.011","ISSN":"18735991","abstract":"Biomass energy still dominates the energy sector in Sub-Saharan Africa, in particular as the main cooking energy source in rural and urban areas. The strong linkages to food security and the environment place biomass energy at the heart of sustainable development, a fact that is largely ignored by policy makers in favor of modern energy. At the same time, population and GDP growth are exacerbating already existing supply–demand imbalances in highly populated countries such as Malawi. These trends make it imperative to identify policy interventions that promote sustainable biomass energy while simultaneously considering linkages with other sectors. We use new data on demand and supply for biomass energy in Malawi and develop a model that estimates fuelwood demand based on actual diets and project demand in future years. We simulate how demand side interventions in the form of improved cookstoves affect biomass demand and built a behavioral model to analyze the potential of agroforestry for promoting a sustainable biomass energy sector in Malawi. Our findings show that policy measures aimed at increasing cooking efficiency are not enough to decrease demand for cooking energy due to high population growth. Supply side interventions like agroforestry on the other hand will not only increase sustainable supply, but can also enhance food security and protect the environment. We find that biomass energy can be inherently sustainable and should be an integral part of every energy sector strategy in developing countries as well as of the Sustainable Development Goals.","author":[{"dropping-particle":"","family":"Schuenemann","given":"Franziska","non-dropping-particle":"","parse-names":false,"suffix":""},{"dropping-particle":"","family":"Msangi","given":"Siwa","non-dropping-particle":"","parse-names":false,"suffix":""},{"dropping-particle":"","family":"Zeller","given":"Manfred","non-dropping-particle":"","parse-names":false,"suffix":""}],"container-title":"World Development","id":"ITEM-1","issued":{"date-parts":[["2018"]]},"page":"14-26","publisher":"Elsevier Ltd","title":"Policies for a Sustainable Biomass Energy Sector in Malawi: Enhancing Energy and Food Security Simultaneously","type":"article-journal","volume":"103"},"uris":["http://www.mendeley.com/documents/?uuid=1a56dec1-982e-427c-84fd-7f07fb3194e8"]}],"mendeley":{"formattedCitation":"(Schuenemann, Msangi and Zeller, 2018)","plainTextFormattedCitation":"(Schuenemann, Msangi and Zeller, 2018)","previouslyFormattedCitation":"(Schuenemann, Msangi and Zeller, 2018)"},"properties":{"noteIndex":0},"schema":"https://github.com/citation-style-language/schema/raw/master/csl-citation.json"}</w:instrText>
      </w:r>
      <w:r w:rsidRPr="001C72A7">
        <w:rPr>
          <w:rFonts w:eastAsia="Times New Roman" w:cs="Times New Roman"/>
          <w:sz w:val="22"/>
          <w:szCs w:val="22"/>
          <w:lang w:val="en"/>
        </w:rPr>
        <w:fldChar w:fldCharType="separate"/>
      </w:r>
      <w:r w:rsidRPr="001C72A7">
        <w:rPr>
          <w:rFonts w:eastAsia="Times New Roman" w:cs="Times New Roman"/>
          <w:noProof/>
          <w:sz w:val="22"/>
          <w:szCs w:val="22"/>
          <w:lang w:val="en"/>
        </w:rPr>
        <w:t>(Schuenemann, Msangi and Zeller, 2018)</w:t>
      </w:r>
      <w:r w:rsidRPr="001C72A7">
        <w:rPr>
          <w:rFonts w:eastAsia="Times New Roman" w:cs="Times New Roman"/>
          <w:sz w:val="22"/>
          <w:szCs w:val="22"/>
          <w:lang w:val="en"/>
        </w:rPr>
        <w:fldChar w:fldCharType="end"/>
      </w:r>
      <w:r w:rsidRPr="001C72A7">
        <w:rPr>
          <w:rFonts w:eastAsia="Times New Roman" w:cs="Times New Roman"/>
          <w:sz w:val="22"/>
          <w:szCs w:val="22"/>
          <w:lang w:val="en"/>
        </w:rPr>
        <w:t xml:space="preserve">. Despite the observed progress, to date, policies to spur agricultural productivity, curb hunger and promote health in vulnerable households with children remain underutilized; calling attention to the need for a more comprehensive policy framework with greater potential to mitigate the negative impacts of natural disasters and economic crises. </w:t>
      </w:r>
    </w:p>
    <w:p w:rsidR="001C72A7" w:rsidRPr="001C72A7" w:rsidRDefault="009A52A5" w:rsidP="001C72A7">
      <w:pPr>
        <w:spacing w:line="360" w:lineRule="auto"/>
        <w:ind w:firstLine="720"/>
        <w:jc w:val="center"/>
        <w:rPr>
          <w:rFonts w:eastAsia="Times New Roman" w:cs="Times New Roman"/>
          <w:sz w:val="22"/>
          <w:szCs w:val="22"/>
          <w:lang w:val="en"/>
        </w:rPr>
      </w:pPr>
      <w:r w:rsidRPr="001C72A7">
        <w:rPr>
          <w:rFonts w:eastAsia="Times New Roman" w:cs="Times New Roman"/>
          <w:noProof/>
          <w:sz w:val="22"/>
          <w:szCs w:val="22"/>
          <w:lang w:val="es-ES" w:eastAsia="es-ES"/>
        </w:rPr>
        <w:drawing>
          <wp:anchor distT="0" distB="0" distL="114300" distR="114300" simplePos="0" relativeHeight="251658240" behindDoc="1" locked="0" layoutInCell="1" allowOverlap="1" wp14:anchorId="0F80AEBA" wp14:editId="56BBDA21">
            <wp:simplePos x="0" y="0"/>
            <wp:positionH relativeFrom="column">
              <wp:posOffset>-9525</wp:posOffset>
            </wp:positionH>
            <wp:positionV relativeFrom="paragraph">
              <wp:posOffset>240665</wp:posOffset>
            </wp:positionV>
            <wp:extent cx="2753360" cy="2257425"/>
            <wp:effectExtent l="19050" t="19050" r="27940" b="28575"/>
            <wp:wrapTight wrapText="bothSides">
              <wp:wrapPolygon edited="0">
                <wp:start x="-149" y="-182"/>
                <wp:lineTo x="-149" y="21691"/>
                <wp:lineTo x="21670" y="21691"/>
                <wp:lineTo x="21670" y="-182"/>
                <wp:lineTo x="-149" y="-182"/>
              </wp:wrapPolygon>
            </wp:wrapTight>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cstate="print">
                      <a:extLst>
                        <a:ext uri="{28A0092B-C50C-407E-A947-70E740481C1C}">
                          <a14:useLocalDpi xmlns:a14="http://schemas.microsoft.com/office/drawing/2010/main" val="0"/>
                        </a:ext>
                      </a:extLst>
                    </a:blip>
                    <a:srcRect/>
                    <a:stretch>
                      <a:fillRect/>
                    </a:stretch>
                  </pic:blipFill>
                  <pic:spPr>
                    <a:xfrm>
                      <a:off x="0" y="0"/>
                      <a:ext cx="2753360" cy="2257425"/>
                    </a:xfrm>
                    <a:prstGeom prst="rect">
                      <a:avLst/>
                    </a:prstGeom>
                    <a:ln w="12700">
                      <a:solidFill>
                        <a:sysClr val="windowText" lastClr="000000">
                          <a:lumMod val="65000"/>
                          <a:lumOff val="35000"/>
                        </a:sysClr>
                      </a:solidFill>
                      <a:prstDash val="solid"/>
                    </a:ln>
                  </pic:spPr>
                </pic:pic>
              </a:graphicData>
            </a:graphic>
          </wp:anchor>
        </w:drawing>
      </w:r>
    </w:p>
    <w:p w:rsidR="001C72A7" w:rsidRPr="001C72A7" w:rsidRDefault="001C72A7" w:rsidP="001C72A7">
      <w:pPr>
        <w:spacing w:line="360" w:lineRule="auto"/>
        <w:ind w:firstLine="720"/>
        <w:jc w:val="center"/>
        <w:rPr>
          <w:rFonts w:eastAsia="Times New Roman" w:cs="Times New Roman"/>
          <w:b/>
          <w:sz w:val="22"/>
          <w:szCs w:val="22"/>
          <w:lang w:val="en"/>
        </w:rPr>
      </w:pPr>
    </w:p>
    <w:p w:rsidR="001C72A7" w:rsidRPr="001C72A7" w:rsidRDefault="001C72A7" w:rsidP="001C72A7">
      <w:pPr>
        <w:spacing w:line="360" w:lineRule="auto"/>
        <w:ind w:firstLine="720"/>
        <w:rPr>
          <w:rFonts w:eastAsia="Times New Roman" w:cs="Times New Roman"/>
          <w:sz w:val="22"/>
          <w:szCs w:val="22"/>
          <w:lang w:val="en"/>
        </w:rPr>
      </w:pPr>
    </w:p>
    <w:p w:rsidR="001C72A7" w:rsidRPr="001C72A7" w:rsidRDefault="001C72A7" w:rsidP="001C72A7">
      <w:pPr>
        <w:spacing w:line="360" w:lineRule="auto"/>
        <w:ind w:firstLine="720"/>
        <w:rPr>
          <w:rFonts w:eastAsia="Times New Roman" w:cs="Times New Roman"/>
          <w:b/>
          <w:bCs/>
          <w:sz w:val="22"/>
          <w:szCs w:val="22"/>
          <w:lang w:val="en"/>
        </w:rPr>
      </w:pPr>
      <w:r w:rsidRPr="00215F0B">
        <w:rPr>
          <w:rFonts w:eastAsia="Times New Roman" w:cs="Times New Roman"/>
          <w:b/>
          <w:bCs/>
          <w:sz w:val="22"/>
          <w:szCs w:val="22"/>
          <w:lang w:val="en"/>
        </w:rPr>
        <w:t xml:space="preserve">  </w:t>
      </w:r>
      <w:r w:rsidRPr="001C72A7">
        <w:rPr>
          <w:rFonts w:eastAsia="Times New Roman" w:cs="Times New Roman"/>
          <w:b/>
          <w:bCs/>
          <w:sz w:val="22"/>
          <w:szCs w:val="22"/>
          <w:lang w:val="en"/>
        </w:rPr>
        <w:t xml:space="preserve">Figure 2. Pathways to food </w:t>
      </w:r>
      <w:r w:rsidRPr="00215F0B">
        <w:rPr>
          <w:rFonts w:eastAsia="Times New Roman" w:cs="Times New Roman"/>
          <w:b/>
          <w:bCs/>
          <w:sz w:val="22"/>
          <w:szCs w:val="22"/>
          <w:lang w:val="en"/>
        </w:rPr>
        <w:t>i</w:t>
      </w:r>
      <w:r w:rsidRPr="001C72A7">
        <w:rPr>
          <w:rFonts w:eastAsia="Times New Roman" w:cs="Times New Roman"/>
          <w:b/>
          <w:bCs/>
          <w:sz w:val="22"/>
          <w:szCs w:val="22"/>
          <w:lang w:val="en"/>
        </w:rPr>
        <w:t xml:space="preserve">nsecurity </w:t>
      </w:r>
    </w:p>
    <w:p w:rsidR="001C72A7" w:rsidRPr="001C72A7" w:rsidRDefault="001C72A7" w:rsidP="001C72A7">
      <w:pPr>
        <w:spacing w:line="360" w:lineRule="auto"/>
        <w:jc w:val="center"/>
        <w:rPr>
          <w:rFonts w:eastAsia="Times New Roman" w:cs="Times New Roman"/>
          <w:sz w:val="22"/>
          <w:szCs w:val="22"/>
          <w:lang w:val="en"/>
        </w:rPr>
      </w:pPr>
    </w:p>
    <w:p w:rsidR="001C72A7" w:rsidRPr="001C72A7" w:rsidRDefault="001C72A7" w:rsidP="001C72A7">
      <w:pPr>
        <w:spacing w:line="360" w:lineRule="auto"/>
        <w:rPr>
          <w:rFonts w:eastAsia="Times New Roman" w:cs="Times New Roman"/>
          <w:b/>
          <w:sz w:val="22"/>
          <w:szCs w:val="22"/>
          <w:lang w:val="en"/>
        </w:rPr>
      </w:pPr>
      <w:r w:rsidRPr="001C72A7">
        <w:rPr>
          <w:rFonts w:eastAsia="Times New Roman" w:cs="Times New Roman"/>
          <w:b/>
          <w:sz w:val="22"/>
          <w:szCs w:val="22"/>
          <w:lang w:val="en"/>
        </w:rPr>
        <w:t>Methods</w:t>
      </w:r>
    </w:p>
    <w:p w:rsidR="001C72A7" w:rsidRPr="001C72A7" w:rsidRDefault="001C72A7" w:rsidP="001C72A7">
      <w:pPr>
        <w:pBdr>
          <w:bottom w:val="none" w:sz="0" w:space="1" w:color="000000"/>
        </w:pBdr>
        <w:spacing w:before="160" w:line="360" w:lineRule="auto"/>
        <w:ind w:right="160"/>
        <w:rPr>
          <w:rFonts w:eastAsia="Times New Roman" w:cs="Times New Roman"/>
          <w:sz w:val="22"/>
          <w:szCs w:val="22"/>
          <w:highlight w:val="white"/>
          <w:lang w:val="en"/>
        </w:rPr>
      </w:pPr>
      <w:r w:rsidRPr="001C72A7">
        <w:rPr>
          <w:rFonts w:eastAsia="Times New Roman" w:cs="Times New Roman"/>
          <w:sz w:val="22"/>
          <w:szCs w:val="22"/>
          <w:highlight w:val="white"/>
          <w:lang w:val="en"/>
        </w:rPr>
        <w:t>This exploratory study set out to benchmark progress on SDG #2 (Zero Hunger) with respect to four of the nine indicators under SDG2: (i) 2.1.1 Prevalence of undernourishment, (ii) 2.1.2 Prevalence of food insecurity, (iii) 2.2.1 Prevalence of stunting and (iv) 2.2.2 Prevalence of malnutrition. In particular, we</w:t>
      </w:r>
      <w:r w:rsidRPr="001C72A7">
        <w:rPr>
          <w:rFonts w:eastAsia="Times New Roman" w:cs="Times New Roman"/>
          <w:sz w:val="22"/>
          <w:szCs w:val="22"/>
          <w:lang w:val="en"/>
        </w:rPr>
        <w:t xml:space="preserve"> highlight the extent of food insecurity in SSA, and benchmark performance on undernourishment, child malnutrition (wasting and overweight) and stunting</w:t>
      </w:r>
      <w:r w:rsidRPr="001C72A7">
        <w:rPr>
          <w:rFonts w:eastAsia="Times New Roman" w:cs="Times New Roman"/>
          <w:sz w:val="22"/>
          <w:szCs w:val="22"/>
          <w:highlight w:val="white"/>
          <w:lang w:val="en"/>
        </w:rPr>
        <w:t xml:space="preserve">. </w:t>
      </w:r>
    </w:p>
    <w:p w:rsidR="001C72A7" w:rsidRPr="001C72A7" w:rsidRDefault="001C72A7" w:rsidP="001C72A7">
      <w:pPr>
        <w:spacing w:line="360" w:lineRule="auto"/>
        <w:rPr>
          <w:rFonts w:eastAsia="Times New Roman" w:cs="Times New Roman"/>
          <w:i/>
          <w:sz w:val="22"/>
          <w:szCs w:val="22"/>
          <w:highlight w:val="white"/>
          <w:lang w:val="en"/>
        </w:rPr>
      </w:pPr>
      <w:r w:rsidRPr="001C72A7">
        <w:rPr>
          <w:rFonts w:eastAsia="Times New Roman" w:cs="Times New Roman"/>
          <w:i/>
          <w:sz w:val="22"/>
          <w:szCs w:val="22"/>
          <w:highlight w:val="white"/>
          <w:lang w:val="en"/>
        </w:rPr>
        <w:t>Key Measures</w:t>
      </w:r>
    </w:p>
    <w:p w:rsidR="001C72A7" w:rsidRPr="001C72A7" w:rsidRDefault="001C72A7" w:rsidP="001C72A7">
      <w:pPr>
        <w:spacing w:line="360" w:lineRule="auto"/>
        <w:rPr>
          <w:rFonts w:eastAsia="Times New Roman" w:cs="Times New Roman"/>
          <w:sz w:val="22"/>
          <w:szCs w:val="22"/>
          <w:lang w:val="en"/>
        </w:rPr>
      </w:pPr>
      <w:r w:rsidRPr="001C72A7">
        <w:rPr>
          <w:rFonts w:eastAsia="Times New Roman" w:cs="Times New Roman"/>
          <w:b/>
          <w:sz w:val="22"/>
          <w:szCs w:val="22"/>
          <w:highlight w:val="white"/>
          <w:lang w:val="en"/>
        </w:rPr>
        <w:t>Regional Groupings:</w:t>
      </w:r>
      <w:r w:rsidRPr="001C72A7">
        <w:rPr>
          <w:rFonts w:eastAsia="Times New Roman" w:cs="Times New Roman"/>
          <w:sz w:val="22"/>
          <w:szCs w:val="22"/>
          <w:highlight w:val="white"/>
          <w:lang w:val="en"/>
        </w:rPr>
        <w:t xml:space="preserve"> For the Sustainable Development Goals, country groupings are defined by the United Nations Statistics Division - </w:t>
      </w:r>
      <w:hyperlink r:id="rId9">
        <w:r w:rsidRPr="001C72A7">
          <w:rPr>
            <w:rFonts w:eastAsia="Times New Roman" w:cs="Times New Roman"/>
            <w:sz w:val="22"/>
            <w:szCs w:val="22"/>
            <w:highlight w:val="white"/>
            <w:lang w:val="en"/>
          </w:rPr>
          <w:t>Standard Country code known as M49)</w:t>
        </w:r>
      </w:hyperlink>
      <w:r w:rsidRPr="001C72A7">
        <w:rPr>
          <w:rFonts w:eastAsia="Times New Roman" w:cs="Times New Roman"/>
          <w:sz w:val="22"/>
          <w:szCs w:val="22"/>
          <w:highlight w:val="white"/>
          <w:lang w:val="en"/>
        </w:rPr>
        <w:t xml:space="preserve"> </w:t>
      </w:r>
      <w:r w:rsidRPr="001C72A7">
        <w:rPr>
          <w:rFonts w:eastAsia="Times New Roman" w:cs="Times New Roman"/>
          <w:sz w:val="22"/>
          <w:szCs w:val="22"/>
          <w:highlight w:val="white"/>
          <w:lang w:val="en"/>
        </w:rPr>
        <w:fldChar w:fldCharType="begin" w:fldLock="1"/>
      </w:r>
      <w:r w:rsidRPr="001C72A7">
        <w:rPr>
          <w:rFonts w:eastAsia="Times New Roman" w:cs="Times New Roman"/>
          <w:sz w:val="22"/>
          <w:szCs w:val="22"/>
          <w:highlight w:val="white"/>
          <w:lang w:val="en"/>
        </w:rPr>
        <w:instrText>ADDIN CSL_CITATION {"citationItems":[{"id":"ITEM-1","itemData":{"URL":"http://unstats-undesa.opendata.arcgis.com/search?groupIds=065896a584ca4ceb920fbdd3892bee05","accessed":{"date-parts":[["2020","5","19"]]},"container-title":"UN DESA Statistics Division","id":"ITEM-1","issued":{"date-parts":[["2019"]]},"title":"UN Stats Open SDG Data Hub","type":"webpage"},"uris":["http://www.mendeley.com/documents/?uuid=d2c53004-55f0-479d-80bc-796d3bf7f010"]},{"id":"ITEM-2","itemData":{"URL":"https://unstats.un.org/sdgs/indicators/regional-groups/","accessed":{"date-parts":[["2020","6","13"]]},"author":[{"dropping-particle":"","family":"United Nations","given":"","non-dropping-particle":"","parse-names":false,"suffix":""}],"id":"ITEM-2","issued":{"date-parts":[["0"]]},"title":"SDG Indicators Regional groupings used in 2017 Report and Statistical Annex","type":"webpage"},"uris":["http://www.mendeley.com/documents/?uuid=2f729b18-748e-3e10-8885-dd3e18f5b225"]}],"mendeley":{"formattedCitation":"(United Nations, no date; &lt;i&gt;UN Stats Open SDG Data Hub&lt;/i&gt;, 2019)","plainTextFormattedCitation":"(United Nations, no date; UN Stats Open SDG Data Hub, 2019)","previouslyFormattedCitation":"(United Nations, no date; &lt;i&gt;UN Stats Open SDG Data Hub&lt;/i&gt;, 2019)"},"properties":{"noteIndex":0},"schema":"https://github.com/citation-style-language/schema/raw/master/csl-citation.json"}</w:instrText>
      </w:r>
      <w:r w:rsidRPr="001C72A7">
        <w:rPr>
          <w:rFonts w:eastAsia="Times New Roman" w:cs="Times New Roman"/>
          <w:sz w:val="22"/>
          <w:szCs w:val="22"/>
          <w:highlight w:val="white"/>
          <w:lang w:val="en"/>
        </w:rPr>
        <w:fldChar w:fldCharType="separate"/>
      </w:r>
      <w:r w:rsidRPr="001C72A7">
        <w:rPr>
          <w:rFonts w:eastAsia="Times New Roman" w:cs="Times New Roman"/>
          <w:noProof/>
          <w:sz w:val="22"/>
          <w:szCs w:val="22"/>
          <w:highlight w:val="white"/>
          <w:lang w:val="en"/>
        </w:rPr>
        <w:t xml:space="preserve">(United Nations, no date; </w:t>
      </w:r>
      <w:r w:rsidRPr="001C72A7">
        <w:rPr>
          <w:rFonts w:eastAsia="Times New Roman" w:cs="Times New Roman"/>
          <w:i/>
          <w:noProof/>
          <w:sz w:val="22"/>
          <w:szCs w:val="22"/>
          <w:highlight w:val="white"/>
          <w:lang w:val="en"/>
        </w:rPr>
        <w:t>UN Stats Open SDG Data Hub</w:t>
      </w:r>
      <w:r w:rsidRPr="001C72A7">
        <w:rPr>
          <w:rFonts w:eastAsia="Times New Roman" w:cs="Times New Roman"/>
          <w:noProof/>
          <w:sz w:val="22"/>
          <w:szCs w:val="22"/>
          <w:highlight w:val="white"/>
          <w:lang w:val="en"/>
        </w:rPr>
        <w:t>, 2019)</w:t>
      </w:r>
      <w:r w:rsidRPr="001C72A7">
        <w:rPr>
          <w:rFonts w:eastAsia="Times New Roman" w:cs="Times New Roman"/>
          <w:sz w:val="22"/>
          <w:szCs w:val="22"/>
          <w:highlight w:val="white"/>
          <w:lang w:val="en"/>
        </w:rPr>
        <w:fldChar w:fldCharType="end"/>
      </w:r>
      <w:r w:rsidRPr="001C72A7">
        <w:rPr>
          <w:rFonts w:eastAsia="Times New Roman" w:cs="Times New Roman"/>
          <w:sz w:val="22"/>
          <w:szCs w:val="22"/>
          <w:highlight w:val="white"/>
          <w:lang w:val="en"/>
        </w:rPr>
        <w:t>. Under this code, sub-Saharan Africa</w:t>
      </w:r>
      <w:r w:rsidRPr="001C72A7">
        <w:rPr>
          <w:rFonts w:eastAsia="Times New Roman" w:cs="Times New Roman"/>
          <w:sz w:val="22"/>
          <w:szCs w:val="22"/>
          <w:lang w:val="en"/>
        </w:rPr>
        <w:t xml:space="preserve"> (SSA) is categorized under four regions, namely, Eastern, Middle, Southern, and Western Africa (SDG Indicators, n.d.). Table 2 presents a breakdown of these countries by sub</w:t>
      </w:r>
      <w:r w:rsidR="00E10C93">
        <w:rPr>
          <w:rFonts w:eastAsia="Times New Roman" w:cs="Times New Roman"/>
          <w:sz w:val="22"/>
          <w:szCs w:val="22"/>
          <w:lang w:val="en"/>
        </w:rPr>
        <w:t>-</w:t>
      </w:r>
      <w:r w:rsidRPr="001C72A7">
        <w:rPr>
          <w:rFonts w:eastAsia="Times New Roman" w:cs="Times New Roman"/>
          <w:sz w:val="22"/>
          <w:szCs w:val="22"/>
          <w:lang w:val="en"/>
        </w:rPr>
        <w:t xml:space="preserve">region. </w:t>
      </w:r>
    </w:p>
    <w:p w:rsidR="00023903" w:rsidRPr="00023903" w:rsidRDefault="001C72A7" w:rsidP="00023903">
      <w:pPr>
        <w:pBdr>
          <w:bottom w:val="none" w:sz="0" w:space="1" w:color="000000"/>
        </w:pBdr>
        <w:spacing w:before="160" w:line="360" w:lineRule="auto"/>
        <w:ind w:right="160"/>
        <w:rPr>
          <w:rFonts w:eastAsia="Times New Roman" w:cs="Times New Roman"/>
          <w:b/>
          <w:bCs/>
          <w:sz w:val="22"/>
          <w:szCs w:val="22"/>
          <w:lang w:val="en"/>
        </w:rPr>
      </w:pPr>
      <w:r w:rsidRPr="00023903">
        <w:rPr>
          <w:rFonts w:eastAsia="Times New Roman" w:cs="Times New Roman"/>
          <w:b/>
          <w:bCs/>
          <w:sz w:val="22"/>
          <w:szCs w:val="22"/>
          <w:lang w:val="en"/>
        </w:rPr>
        <w:t>Table 2: Regional Groupings for the Sustainable Development Goals</w:t>
      </w:r>
    </w:p>
    <w:tbl>
      <w:tblPr>
        <w:tblW w:w="4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377"/>
        <w:gridCol w:w="3553"/>
      </w:tblGrid>
      <w:tr w:rsidR="00023903" w:rsidRPr="00023903" w:rsidTr="00570077">
        <w:trPr>
          <w:trHeight w:val="511"/>
        </w:trPr>
        <w:tc>
          <w:tcPr>
            <w:tcW w:w="1377" w:type="dxa"/>
          </w:tcPr>
          <w:p w:rsidR="00023903" w:rsidRPr="00023903" w:rsidRDefault="00023903" w:rsidP="00023903">
            <w:pPr>
              <w:pStyle w:val="Indent-Paragraph"/>
              <w:ind w:firstLine="0"/>
              <w:rPr>
                <w:b/>
                <w:lang w:val="en"/>
              </w:rPr>
            </w:pPr>
            <w:r w:rsidRPr="00023903">
              <w:rPr>
                <w:b/>
                <w:lang w:val="en"/>
              </w:rPr>
              <w:t xml:space="preserve">Sub-Saharan Africa  </w:t>
            </w:r>
          </w:p>
        </w:tc>
        <w:tc>
          <w:tcPr>
            <w:tcW w:w="3553" w:type="dxa"/>
          </w:tcPr>
          <w:p w:rsidR="00023903" w:rsidRPr="00023903" w:rsidRDefault="00023903" w:rsidP="00023903">
            <w:pPr>
              <w:pStyle w:val="Indent-Paragraph"/>
              <w:ind w:firstLine="0"/>
              <w:rPr>
                <w:b/>
                <w:lang w:val="en"/>
              </w:rPr>
            </w:pPr>
            <w:r w:rsidRPr="00023903">
              <w:rPr>
                <w:b/>
                <w:lang w:val="en"/>
              </w:rPr>
              <w:t>Countries</w:t>
            </w:r>
            <w:r>
              <w:rPr>
                <w:b/>
                <w:lang w:val="en"/>
              </w:rPr>
              <w:t xml:space="preserve"> by Regional Grouping</w:t>
            </w:r>
          </w:p>
        </w:tc>
      </w:tr>
      <w:tr w:rsidR="00023903" w:rsidRPr="00023903" w:rsidTr="009A52A5">
        <w:trPr>
          <w:trHeight w:val="699"/>
        </w:trPr>
        <w:tc>
          <w:tcPr>
            <w:tcW w:w="1377" w:type="dxa"/>
          </w:tcPr>
          <w:p w:rsidR="00023903" w:rsidRPr="00023903" w:rsidRDefault="00023903" w:rsidP="00023903">
            <w:pPr>
              <w:pStyle w:val="Indent-Paragraph"/>
              <w:ind w:firstLine="0"/>
              <w:rPr>
                <w:lang w:val="en"/>
              </w:rPr>
            </w:pPr>
            <w:r>
              <w:rPr>
                <w:lang w:val="en"/>
              </w:rPr>
              <w:t xml:space="preserve">Eastern Africa </w:t>
            </w:r>
          </w:p>
        </w:tc>
        <w:tc>
          <w:tcPr>
            <w:tcW w:w="3553" w:type="dxa"/>
          </w:tcPr>
          <w:p w:rsidR="00023903" w:rsidRPr="00023903" w:rsidRDefault="00023903" w:rsidP="00023903">
            <w:pPr>
              <w:pStyle w:val="Indent-Paragraph"/>
              <w:ind w:firstLine="0"/>
              <w:rPr>
                <w:lang w:val="en"/>
              </w:rPr>
            </w:pPr>
            <w:r w:rsidRPr="00023903">
              <w:rPr>
                <w:lang w:val="en"/>
              </w:rPr>
              <w:t>British Indian Ocean Territory*, Burundi, Comoros, Djibouti, Eritrea, Ethiopia, French Southern Territories*, Kenya, Madagascar, Malawi, Mauritius, Mayotte*, Mozambique, Réunion*, Rwanda, Seychelles, Somalia, South Sudan, Uganda, United Republic of Tanzania, Zambia, Zimbabwe</w:t>
            </w:r>
          </w:p>
        </w:tc>
      </w:tr>
      <w:tr w:rsidR="00023903" w:rsidRPr="00023903" w:rsidTr="00570077">
        <w:trPr>
          <w:trHeight w:val="1022"/>
        </w:trPr>
        <w:tc>
          <w:tcPr>
            <w:tcW w:w="1377" w:type="dxa"/>
          </w:tcPr>
          <w:p w:rsidR="00023903" w:rsidRPr="00023903" w:rsidRDefault="00023903" w:rsidP="00023903">
            <w:pPr>
              <w:pStyle w:val="Indent-Paragraph"/>
              <w:ind w:firstLine="0"/>
              <w:rPr>
                <w:lang w:val="en"/>
              </w:rPr>
            </w:pPr>
            <w:r>
              <w:rPr>
                <w:lang w:val="en"/>
              </w:rPr>
              <w:t xml:space="preserve">Middle Africa </w:t>
            </w:r>
          </w:p>
        </w:tc>
        <w:tc>
          <w:tcPr>
            <w:tcW w:w="3553" w:type="dxa"/>
          </w:tcPr>
          <w:p w:rsidR="00023903" w:rsidRPr="00023903" w:rsidRDefault="00023903" w:rsidP="00023903">
            <w:pPr>
              <w:pStyle w:val="Indent-Paragraph"/>
              <w:ind w:firstLine="0"/>
              <w:rPr>
                <w:lang w:val="en"/>
              </w:rPr>
            </w:pPr>
            <w:r w:rsidRPr="00023903">
              <w:rPr>
                <w:lang w:val="en"/>
              </w:rPr>
              <w:t>Angola, Cameroon, Central African Republic, Chad, Congo, Democratic Republic of the Congo, Equatorial Guinea, Gabon, Sao Tome and Principe</w:t>
            </w:r>
          </w:p>
        </w:tc>
      </w:tr>
      <w:tr w:rsidR="00023903" w:rsidRPr="00023903" w:rsidTr="00570077">
        <w:trPr>
          <w:trHeight w:val="511"/>
        </w:trPr>
        <w:tc>
          <w:tcPr>
            <w:tcW w:w="1377" w:type="dxa"/>
          </w:tcPr>
          <w:p w:rsidR="00023903" w:rsidRPr="00023903" w:rsidRDefault="00023903" w:rsidP="00023903">
            <w:pPr>
              <w:pStyle w:val="Indent-Paragraph"/>
              <w:ind w:firstLine="0"/>
              <w:rPr>
                <w:lang w:val="en"/>
              </w:rPr>
            </w:pPr>
            <w:r>
              <w:rPr>
                <w:lang w:val="en"/>
              </w:rPr>
              <w:t xml:space="preserve">Southern Africa </w:t>
            </w:r>
          </w:p>
        </w:tc>
        <w:tc>
          <w:tcPr>
            <w:tcW w:w="3553" w:type="dxa"/>
          </w:tcPr>
          <w:p w:rsidR="00023903" w:rsidRPr="00023903" w:rsidRDefault="00023903" w:rsidP="00023903">
            <w:pPr>
              <w:pStyle w:val="Indent-Paragraph"/>
              <w:ind w:firstLine="0"/>
              <w:rPr>
                <w:lang w:val="en"/>
              </w:rPr>
            </w:pPr>
            <w:r w:rsidRPr="00023903">
              <w:rPr>
                <w:lang w:val="en"/>
              </w:rPr>
              <w:t>Botswana, Eswatini, Lesotho, Namibia, South Africa</w:t>
            </w:r>
          </w:p>
        </w:tc>
      </w:tr>
      <w:tr w:rsidR="00023903" w:rsidRPr="0042554A" w:rsidTr="00570077">
        <w:trPr>
          <w:trHeight w:val="1095"/>
        </w:trPr>
        <w:tc>
          <w:tcPr>
            <w:tcW w:w="1377" w:type="dxa"/>
          </w:tcPr>
          <w:p w:rsidR="00023903" w:rsidRPr="00023903" w:rsidRDefault="00023903" w:rsidP="00023903">
            <w:pPr>
              <w:pStyle w:val="Indent-Paragraph"/>
              <w:ind w:firstLine="0"/>
              <w:rPr>
                <w:lang w:val="en"/>
              </w:rPr>
            </w:pPr>
            <w:r w:rsidRPr="00023903">
              <w:rPr>
                <w:lang w:val="en"/>
              </w:rPr>
              <w:t>Western Afric</w:t>
            </w:r>
            <w:r>
              <w:rPr>
                <w:lang w:val="en"/>
              </w:rPr>
              <w:t xml:space="preserve">a </w:t>
            </w:r>
          </w:p>
        </w:tc>
        <w:tc>
          <w:tcPr>
            <w:tcW w:w="3553" w:type="dxa"/>
          </w:tcPr>
          <w:p w:rsidR="00023903" w:rsidRPr="00570077" w:rsidRDefault="00023903" w:rsidP="00023903">
            <w:pPr>
              <w:pStyle w:val="Indent-Paragraph"/>
              <w:ind w:firstLine="0"/>
              <w:rPr>
                <w:lang w:val="es-ES"/>
              </w:rPr>
            </w:pPr>
            <w:r w:rsidRPr="00570077">
              <w:rPr>
                <w:lang w:val="es-ES"/>
              </w:rPr>
              <w:t>Benin, Burkina Faso, Cabo Verde, Côte d’Ivoire, Gambia, Ghana, Guinea, Guinea-Bissau, Liberia, Mali, Mauritania, Niger, Nigeria, Saint Helena*, Senegal, Sierra Leone, Togo</w:t>
            </w:r>
          </w:p>
        </w:tc>
      </w:tr>
    </w:tbl>
    <w:p w:rsidR="001C72A7" w:rsidRPr="001C72A7" w:rsidRDefault="001C72A7" w:rsidP="001C72A7">
      <w:pPr>
        <w:pBdr>
          <w:bottom w:val="none" w:sz="0" w:space="1" w:color="000000"/>
        </w:pBdr>
        <w:spacing w:before="160" w:line="240" w:lineRule="auto"/>
        <w:ind w:right="160"/>
        <w:rPr>
          <w:rFonts w:eastAsia="Times New Roman" w:cs="Times New Roman"/>
          <w:sz w:val="22"/>
          <w:szCs w:val="22"/>
          <w:lang w:val="en"/>
        </w:rPr>
      </w:pPr>
      <w:r w:rsidRPr="001C72A7">
        <w:rPr>
          <w:rFonts w:eastAsia="Times New Roman" w:cs="Times New Roman"/>
          <w:sz w:val="22"/>
          <w:szCs w:val="22"/>
          <w:lang w:val="en"/>
        </w:rPr>
        <w:t>Note: * indicates a country that does not have data in the world bank database.</w:t>
      </w:r>
    </w:p>
    <w:p w:rsidR="001C72A7" w:rsidRPr="001C72A7" w:rsidRDefault="001C72A7" w:rsidP="001C72A7">
      <w:pPr>
        <w:pBdr>
          <w:bottom w:val="none" w:sz="0" w:space="1" w:color="000000"/>
        </w:pBdr>
        <w:spacing w:before="160" w:line="240" w:lineRule="auto"/>
        <w:ind w:right="160"/>
        <w:rPr>
          <w:rFonts w:eastAsia="Times New Roman" w:cs="Times New Roman"/>
          <w:sz w:val="22"/>
          <w:szCs w:val="22"/>
          <w:lang w:val="en"/>
        </w:rPr>
      </w:pPr>
      <w:r w:rsidRPr="001C72A7">
        <w:rPr>
          <w:rFonts w:eastAsia="Times New Roman" w:cs="Times New Roman"/>
          <w:sz w:val="22"/>
          <w:szCs w:val="22"/>
          <w:lang w:val="en"/>
        </w:rPr>
        <w:t xml:space="preserve">Source: </w:t>
      </w:r>
      <w:r w:rsidRPr="001C72A7">
        <w:rPr>
          <w:rFonts w:eastAsia="Times New Roman" w:cs="Times New Roman"/>
          <w:sz w:val="22"/>
          <w:szCs w:val="22"/>
          <w:lang w:val="en"/>
        </w:rPr>
        <w:fldChar w:fldCharType="begin" w:fldLock="1"/>
      </w:r>
      <w:r w:rsidRPr="001C72A7">
        <w:rPr>
          <w:rFonts w:eastAsia="Times New Roman" w:cs="Times New Roman"/>
          <w:sz w:val="22"/>
          <w:szCs w:val="22"/>
          <w:lang w:val="en"/>
        </w:rPr>
        <w:instrText>ADDIN CSL_CITATION {"citationItems":[{"id":"ITEM-1","itemData":{"URL":"https://unstats.un.org/unsd/methodology/m49/","accessed":{"date-parts":[["2020","6","13"]]},"author":[{"dropping-particle":"","family":"UN Statistical Division","given":"","non-dropping-particle":"","parse-names":false,"suffix":""}],"container-title":"UN Statistical Division","id":"ITEM-1","issued":{"date-parts":[["0"]]},"title":"Standard country or area codes for statistical use (M49)","type":"webpage"},"uris":["http://www.mendeley.com/documents/?uuid=45b6b97b-55e3-337f-870f-17c8ab5f5f58"]}],"mendeley":{"formattedCitation":"(UN Statistical Division, no date)","plainTextFormattedCitation":"(UN Statistical Division, no date)","previouslyFormattedCitation":"(UN Statistical Division, no date)"},"properties":{"noteIndex":0},"schema":"https://github.com/citation-style-language/schema/raw/master/csl-citation.json"}</w:instrText>
      </w:r>
      <w:r w:rsidRPr="001C72A7">
        <w:rPr>
          <w:rFonts w:eastAsia="Times New Roman" w:cs="Times New Roman"/>
          <w:sz w:val="22"/>
          <w:szCs w:val="22"/>
          <w:lang w:val="en"/>
        </w:rPr>
        <w:fldChar w:fldCharType="separate"/>
      </w:r>
      <w:r w:rsidRPr="001C72A7">
        <w:rPr>
          <w:rFonts w:eastAsia="Times New Roman" w:cs="Times New Roman"/>
          <w:noProof/>
          <w:sz w:val="22"/>
          <w:szCs w:val="22"/>
          <w:lang w:val="en"/>
        </w:rPr>
        <w:t>(UN Statistical Division, no</w:t>
      </w:r>
      <w:r w:rsidR="00023903">
        <w:rPr>
          <w:rFonts w:eastAsia="Times New Roman" w:cs="Times New Roman"/>
          <w:noProof/>
          <w:sz w:val="22"/>
          <w:szCs w:val="22"/>
          <w:lang w:val="en"/>
        </w:rPr>
        <w:t>t</w:t>
      </w:r>
      <w:r w:rsidRPr="001C72A7">
        <w:rPr>
          <w:rFonts w:eastAsia="Times New Roman" w:cs="Times New Roman"/>
          <w:noProof/>
          <w:sz w:val="22"/>
          <w:szCs w:val="22"/>
          <w:lang w:val="en"/>
        </w:rPr>
        <w:t xml:space="preserve"> date</w:t>
      </w:r>
      <w:r w:rsidR="00023903">
        <w:rPr>
          <w:rFonts w:eastAsia="Times New Roman" w:cs="Times New Roman"/>
          <w:noProof/>
          <w:sz w:val="22"/>
          <w:szCs w:val="22"/>
          <w:lang w:val="en"/>
        </w:rPr>
        <w:t>d</w:t>
      </w:r>
      <w:r w:rsidRPr="001C72A7">
        <w:rPr>
          <w:rFonts w:eastAsia="Times New Roman" w:cs="Times New Roman"/>
          <w:noProof/>
          <w:sz w:val="22"/>
          <w:szCs w:val="22"/>
          <w:lang w:val="en"/>
        </w:rPr>
        <w:t>)</w:t>
      </w:r>
      <w:r w:rsidRPr="001C72A7">
        <w:rPr>
          <w:rFonts w:eastAsia="Times New Roman" w:cs="Times New Roman"/>
          <w:sz w:val="22"/>
          <w:szCs w:val="22"/>
          <w:lang w:val="en"/>
        </w:rPr>
        <w:fldChar w:fldCharType="end"/>
      </w:r>
    </w:p>
    <w:p w:rsidR="001C72A7" w:rsidRPr="001C72A7" w:rsidRDefault="001C72A7" w:rsidP="001C72A7">
      <w:pPr>
        <w:spacing w:line="240" w:lineRule="auto"/>
        <w:rPr>
          <w:rFonts w:eastAsia="Times New Roman" w:cs="Times New Roman"/>
          <w:sz w:val="22"/>
          <w:szCs w:val="22"/>
          <w:highlight w:val="white"/>
          <w:lang w:val="en"/>
        </w:rPr>
      </w:pPr>
    </w:p>
    <w:p w:rsidR="001C72A7" w:rsidRPr="001C72A7" w:rsidRDefault="001C72A7" w:rsidP="001C72A7">
      <w:pPr>
        <w:spacing w:line="360" w:lineRule="auto"/>
        <w:rPr>
          <w:rFonts w:eastAsia="Times New Roman" w:cs="Times New Roman"/>
          <w:b/>
          <w:sz w:val="22"/>
          <w:szCs w:val="22"/>
          <w:highlight w:val="yellow"/>
          <w:lang w:val="en"/>
        </w:rPr>
      </w:pPr>
      <w:r w:rsidRPr="001C72A7">
        <w:rPr>
          <w:rFonts w:eastAsia="Times New Roman" w:cs="Times New Roman"/>
          <w:b/>
          <w:sz w:val="22"/>
          <w:szCs w:val="22"/>
          <w:highlight w:val="white"/>
          <w:lang w:val="en"/>
        </w:rPr>
        <w:t xml:space="preserve">Prevalence of undernourishment </w:t>
      </w:r>
      <w:r w:rsidRPr="001C72A7">
        <w:rPr>
          <w:rFonts w:eastAsia="Times New Roman" w:cs="Times New Roman"/>
          <w:sz w:val="22"/>
          <w:szCs w:val="22"/>
          <w:highlight w:val="white"/>
          <w:lang w:val="en"/>
        </w:rPr>
        <w:t xml:space="preserve">(PoU) is an internationally recognized indicator defined by the FAO as “the percentage of the population whose food intake is insufficient to meet dietary energy requirements continuously” </w:t>
      </w:r>
      <w:r w:rsidRPr="001C72A7">
        <w:rPr>
          <w:rFonts w:eastAsia="Times New Roman" w:cs="Times New Roman"/>
          <w:sz w:val="22"/>
          <w:szCs w:val="22"/>
          <w:highlight w:val="white"/>
          <w:lang w:val="en"/>
        </w:rPr>
        <w:fldChar w:fldCharType="begin" w:fldLock="1"/>
      </w:r>
      <w:r w:rsidRPr="001C72A7">
        <w:rPr>
          <w:rFonts w:eastAsia="Times New Roman" w:cs="Times New Roman"/>
          <w:sz w:val="22"/>
          <w:szCs w:val="22"/>
          <w:highlight w:val="white"/>
          <w:lang w:val="en"/>
        </w:rPr>
        <w:instrText>ADDIN CSL_CITATION {"citationItems":[{"id":"ITEM-1","itemData":{"URL":"http://www.fao.org/sustainable-development-goals/indicators/211/en/","accessed":{"date-parts":[["2020","5","19"]]},"author":[{"dropping-particle":"","family":"FAO","given":"","non-dropping-particle":"","parse-names":false,"suffix":""}],"container-title":"Sustainable Development Goals | Food and Agriculture Organization of the United Nations","id":"ITEM-1","issued":{"date-parts":[["0"]]},"title":"2.1.1 Prevalence of undernourishment |","type":"webpage"},"uris":["http://www.mendeley.com/documents/?uuid=cde21b38-9647-4cf6-9cb6-b13ed3c17f3d"]}],"mendeley":{"formattedCitation":"(FAO, no date)","plainTextFormattedCitation":"(FAO, no date)","previouslyFormattedCitation":"(FAO, no date)"},"properties":{"noteIndex":0},"schema":"https://github.com/citation-style-language/schema/raw/master/csl-citation.json"}</w:instrText>
      </w:r>
      <w:r w:rsidRPr="001C72A7">
        <w:rPr>
          <w:rFonts w:eastAsia="Times New Roman" w:cs="Times New Roman"/>
          <w:sz w:val="22"/>
          <w:szCs w:val="22"/>
          <w:highlight w:val="white"/>
          <w:lang w:val="en"/>
        </w:rPr>
        <w:fldChar w:fldCharType="separate"/>
      </w:r>
      <w:r w:rsidRPr="001C72A7">
        <w:rPr>
          <w:rFonts w:eastAsia="Times New Roman" w:cs="Times New Roman"/>
          <w:noProof/>
          <w:sz w:val="22"/>
          <w:szCs w:val="22"/>
          <w:highlight w:val="white"/>
          <w:lang w:val="en"/>
        </w:rPr>
        <w:t>(FAO, no date)</w:t>
      </w:r>
      <w:r w:rsidRPr="001C72A7">
        <w:rPr>
          <w:rFonts w:eastAsia="Times New Roman" w:cs="Times New Roman"/>
          <w:sz w:val="22"/>
          <w:szCs w:val="22"/>
          <w:highlight w:val="white"/>
          <w:lang w:val="en"/>
        </w:rPr>
        <w:fldChar w:fldCharType="end"/>
      </w:r>
      <w:r w:rsidRPr="001C72A7">
        <w:rPr>
          <w:rFonts w:eastAsia="Times New Roman" w:cs="Times New Roman"/>
          <w:sz w:val="22"/>
          <w:szCs w:val="22"/>
          <w:lang w:val="en"/>
        </w:rPr>
        <w:t xml:space="preserve">. The measure takes into consideration demographic factors, including sex and age, and habitual food consumption </w:t>
      </w:r>
      <w:r w:rsidRPr="001C72A7">
        <w:rPr>
          <w:rFonts w:eastAsia="Times New Roman" w:cs="Times New Roman"/>
          <w:sz w:val="22"/>
          <w:szCs w:val="22"/>
          <w:lang w:val="en"/>
        </w:rPr>
        <w:fldChar w:fldCharType="begin" w:fldLock="1"/>
      </w:r>
      <w:r w:rsidRPr="001C72A7">
        <w:rPr>
          <w:rFonts w:eastAsia="Times New Roman" w:cs="Times New Roman"/>
          <w:sz w:val="22"/>
          <w:szCs w:val="22"/>
          <w:lang w:val="en"/>
        </w:rPr>
        <w:instrText>ADDIN CSL_CITATION {"citationItems":[{"id":"ITEM-1","itemData":{"author":[{"dropping-particle":"","family":"Cafiero","given":"Carlo","non-dropping-particle":"","parse-names":false,"suffix":""}],"container-title":"FAO Statistics Division. Workinng paper Series","id":"ITEM-1","issue":"ESS/14-04","issued":{"date-parts":[["2014"]]},"page":"1-27","title":"Advances in hunger measurement Traditional FAO methods and recent innovations","type":"article-journal"},"uris":["http://www.mendeley.com/documents/?uuid=7f28db7e-c27d-4b2d-b2c6-304282639090"]},{"id":"ITEM-2","itemData":{"DOI":"10.1007/BF00428044","ISBN":"9789251087855","ISSN":"00656100","abstract":"With reference to histological pictures it is demonstrated that topographically the zonular fibers correspond to two different embryonal blood vessel areas: 1. to the vessels which take their course from the front around the margin of the eye-cup (which later on becomes the ora serrata and the ciliary body) and 2. to the vessels which extend from the tunica vasculosa lentis to the retina. Hereby, the posterior limit of the last-mentioned vessels becomes the limiting membrane of the vitreous body. The zonular fibrils should be formed essentially by fibroblasts which have been left in particular in the area of former blood vessels. © 1969 Springer-Verlag.","author":[{"dropping-particle":"","family":"FAO","given":"","non-dropping-particle":"","parse-names":false,"suffix":""},{"dropping-particle":"","family":"IFAD","given":"","non-dropping-particle":"","parse-names":false,"suffix":""},{"dropping-particle":"","family":"WFP","given":"","non-dropping-particle":"","parse-names":false,"suffix":""}],"container-title":"The State of Food Insecurity in the World","id":"ITEM-2","issue":"1","issued":{"date-parts":[["2015"]]},"number-of-pages":"44-50","title":"The State of Food Insecurity in the World","type":"report"},"uris":["http://www.mendeley.com/documents/?uuid=16365408-8c16-4df6-a539-d9b2dda2a64f"]}],"mendeley":{"formattedCitation":"(Cafiero, 2014; FAO, IFAD and WFP, 2015)","plainTextFormattedCitation":"(Cafiero, 2014; FAO, IFAD and WFP, 2015)","previouslyFormattedCitation":"(Cafiero, 2014; FAO, IFAD and WFP, 2015)"},"properties":{"noteIndex":0},"schema":"https://github.com/citation-style-language/schema/raw/master/csl-citation.json"}</w:instrText>
      </w:r>
      <w:r w:rsidRPr="001C72A7">
        <w:rPr>
          <w:rFonts w:eastAsia="Times New Roman" w:cs="Times New Roman"/>
          <w:sz w:val="22"/>
          <w:szCs w:val="22"/>
          <w:lang w:val="en"/>
        </w:rPr>
        <w:fldChar w:fldCharType="separate"/>
      </w:r>
      <w:r w:rsidRPr="001C72A7">
        <w:rPr>
          <w:rFonts w:eastAsia="Times New Roman" w:cs="Times New Roman"/>
          <w:noProof/>
          <w:sz w:val="22"/>
          <w:szCs w:val="22"/>
          <w:lang w:val="en"/>
        </w:rPr>
        <w:t>(Cafiero, 2014; FAO, IFAD and WFP, 2015)</w:t>
      </w:r>
      <w:r w:rsidRPr="001C72A7">
        <w:rPr>
          <w:rFonts w:eastAsia="Times New Roman" w:cs="Times New Roman"/>
          <w:sz w:val="22"/>
          <w:szCs w:val="22"/>
          <w:lang w:val="en"/>
        </w:rPr>
        <w:fldChar w:fldCharType="end"/>
      </w:r>
      <w:r w:rsidRPr="001C72A7">
        <w:rPr>
          <w:rFonts w:eastAsia="Times New Roman" w:cs="Times New Roman"/>
          <w:sz w:val="22"/>
          <w:szCs w:val="22"/>
          <w:highlight w:val="white"/>
          <w:lang w:val="en"/>
        </w:rPr>
        <w:t>.</w:t>
      </w:r>
    </w:p>
    <w:p w:rsidR="001C72A7" w:rsidRPr="001C72A7" w:rsidRDefault="001C72A7" w:rsidP="001C72A7">
      <w:pPr>
        <w:spacing w:line="360" w:lineRule="auto"/>
        <w:rPr>
          <w:rFonts w:eastAsia="Times New Roman" w:cs="Times New Roman"/>
          <w:sz w:val="22"/>
          <w:szCs w:val="22"/>
          <w:lang w:val="en"/>
        </w:rPr>
      </w:pPr>
      <w:r w:rsidRPr="001C72A7">
        <w:rPr>
          <w:rFonts w:eastAsia="Times New Roman" w:cs="Times New Roman"/>
          <w:b/>
          <w:sz w:val="22"/>
          <w:szCs w:val="22"/>
          <w:lang w:val="en"/>
        </w:rPr>
        <w:t xml:space="preserve">Prevalence of Food Insecurity. </w:t>
      </w:r>
      <w:r w:rsidRPr="001C72A7">
        <w:rPr>
          <w:rFonts w:eastAsia="Times New Roman" w:cs="Times New Roman"/>
          <w:sz w:val="22"/>
          <w:szCs w:val="22"/>
          <w:lang w:val="en"/>
        </w:rPr>
        <w:t xml:space="preserve">Typically, food security/insecurity at the household level is captured by a number of indicators highlighting elements, including (i) affordability/accessibility, (ii) availability, (iii) quality &amp; safety, (iv) utilization, and (v) stability </w:t>
      </w:r>
      <w:r w:rsidRPr="001C72A7">
        <w:rPr>
          <w:rFonts w:eastAsia="Times New Roman" w:cs="Times New Roman"/>
          <w:sz w:val="22"/>
          <w:szCs w:val="22"/>
          <w:lang w:val="en"/>
        </w:rPr>
        <w:fldChar w:fldCharType="begin" w:fldLock="1"/>
      </w:r>
      <w:r w:rsidRPr="001C72A7">
        <w:rPr>
          <w:rFonts w:eastAsia="Times New Roman" w:cs="Times New Roman"/>
          <w:sz w:val="22"/>
          <w:szCs w:val="22"/>
          <w:lang w:val="en"/>
        </w:rPr>
        <w:instrText>ADDIN CSL_CITATION {"citationItems":[{"id":"ITEM-1","itemData":{"DOI":"ISSN 1728-9246","ISBN":"9788578110796","ISSN":"1098-6596","PMID":"25246403","abstract":"Currently, the world is faced with an unprecedented call for action at a moment in which four countries have been identified as at risk of famine, and demand for humanitarian and resilience assistance is escalating. Against this background, informing the global and national food security community on the risk of food crises and on the severity of such crises is of fundamental importance. In recent years, stakeholders have made major investments to improve food security analysis and related early warning systems in order to prevent and tackle food crises more efficiently. Although significant improvements have been made over time in the methods and technologies used to improve the quality and timeliness of food security assessments and monitoring systems, a comprehensive global pictures of food crises is still often missing. Partial geographical coverage and a lack of comparable data within a standardised system make it difficult to get a full global picture of food crises at any given time. The European Union, WFP and FAO have joined forces to coordinate the compilation of analyses to increase the impact of humanitarian and resilience responses through the preparation of the “Global report on Food Crises”. The Global Report enhances coordination and decision-making through a neutral analysis that informs program planning and implementation. The key objective and strength of the report is to establish a consultative and consensus-based process to compile food insecurity analysis from throughout the world into a global public product to inform annual planning and resource allocation decisions. Technical, operational and financial partners require evidence-based information to ensure appropriate planning and resources to tackle the consequences of food security crises within an evolving humanitarian financing landscape. The World Humanitarian Summit has prompted a major rethink of the way response financing is delivered in crisis settings, highlighting the need for more long-term development investments to address risk, prevent crises and build resilience. Since 2013, the European Commission has worked to develop ways to compare and clarify the results of food security analyses across partners and geographical areas to provide a comprehensive overview of the global food security situation. In 2015, the Joint Research Centre of the European Commission (ECJRC) produced an annual report on food insecurity hotspots to inform decisions on food crisis allocation…","author":[{"dropping-particle":"","family":"FSIN","given":"","non-dropping-particle":"","parse-names":false,"suffix":""}],"container-title":"World Food Programme","id":"ITEM-1","issued":{"date-parts":[["2019"]]},"title":"Global Report on Food Crises 2019","type":"report"},"uris":["http://www.mendeley.com/documents/?uuid=f9be4e4f-6093-43c4-9996-c35cc659ab71"]}],"mendeley":{"formattedCitation":"(FSIN, 2019)","plainTextFormattedCitation":"(FSIN, 2019)","previouslyFormattedCitation":"(FSIN, 2019)"},"properties":{"noteIndex":0},"schema":"https://github.com/citation-style-language/schema/raw/master/csl-citation.json"}</w:instrText>
      </w:r>
      <w:r w:rsidRPr="001C72A7">
        <w:rPr>
          <w:rFonts w:eastAsia="Times New Roman" w:cs="Times New Roman"/>
          <w:sz w:val="22"/>
          <w:szCs w:val="22"/>
          <w:lang w:val="en"/>
        </w:rPr>
        <w:fldChar w:fldCharType="separate"/>
      </w:r>
      <w:r w:rsidRPr="001C72A7">
        <w:rPr>
          <w:rFonts w:eastAsia="Times New Roman" w:cs="Times New Roman"/>
          <w:noProof/>
          <w:sz w:val="22"/>
          <w:szCs w:val="22"/>
          <w:lang w:val="en"/>
        </w:rPr>
        <w:t>(FSIN, 2019)</w:t>
      </w:r>
      <w:r w:rsidRPr="001C72A7">
        <w:rPr>
          <w:rFonts w:eastAsia="Times New Roman" w:cs="Times New Roman"/>
          <w:sz w:val="22"/>
          <w:szCs w:val="22"/>
          <w:lang w:val="en"/>
        </w:rPr>
        <w:fldChar w:fldCharType="end"/>
      </w:r>
      <w:r w:rsidRPr="001C72A7">
        <w:rPr>
          <w:rFonts w:eastAsia="Times New Roman" w:cs="Times New Roman"/>
          <w:sz w:val="22"/>
          <w:szCs w:val="22"/>
          <w:lang w:val="en"/>
        </w:rPr>
        <w:t>.</w:t>
      </w:r>
    </w:p>
    <w:p w:rsidR="001C72A7" w:rsidRPr="001C72A7" w:rsidRDefault="001C72A7" w:rsidP="001C72A7">
      <w:pPr>
        <w:spacing w:line="360" w:lineRule="auto"/>
        <w:rPr>
          <w:rFonts w:eastAsia="Times New Roman" w:cs="Times New Roman"/>
          <w:b/>
          <w:sz w:val="22"/>
          <w:szCs w:val="22"/>
          <w:highlight w:val="white"/>
          <w:lang w:val="en"/>
        </w:rPr>
      </w:pPr>
      <w:r w:rsidRPr="001C72A7">
        <w:rPr>
          <w:rFonts w:eastAsia="Times New Roman" w:cs="Times New Roman"/>
          <w:b/>
          <w:sz w:val="22"/>
          <w:szCs w:val="22"/>
          <w:highlight w:val="white"/>
          <w:lang w:val="en"/>
        </w:rPr>
        <w:t>Prevalence of Stunting</w:t>
      </w:r>
      <w:r w:rsidRPr="001C72A7">
        <w:rPr>
          <w:rFonts w:eastAsia="Times New Roman" w:cs="Times New Roman"/>
          <w:sz w:val="22"/>
          <w:szCs w:val="22"/>
          <w:highlight w:val="white"/>
          <w:lang w:val="en"/>
        </w:rPr>
        <w:t xml:space="preserve"> (PoS) is a global indicator used to capture Low height-for-age </w:t>
      </w:r>
      <w:r w:rsidRPr="001C72A7">
        <w:rPr>
          <w:rFonts w:eastAsia="Times New Roman" w:cs="Times New Roman"/>
          <w:sz w:val="22"/>
          <w:szCs w:val="22"/>
          <w:highlight w:val="white"/>
          <w:lang w:val="en"/>
        </w:rPr>
        <w:fldChar w:fldCharType="begin" w:fldLock="1"/>
      </w:r>
      <w:r w:rsidRPr="001C72A7">
        <w:rPr>
          <w:rFonts w:eastAsia="Times New Roman" w:cs="Times New Roman"/>
          <w:sz w:val="22"/>
          <w:szCs w:val="22"/>
          <w:highlight w:val="white"/>
          <w:lang w:val="en"/>
        </w:rPr>
        <w:instrText>ADDIN CSL_CITATION {"citationItems":[{"id":"ITEM-1","itemData":{"author":[{"dropping-particle":"","family":"WHO","given":"","non-dropping-particle":"","parse-names":false,"suffix":""}],"id":"ITEM-1","issued":{"date-parts":[["2010"]]},"title":"Interpretation Guide Nutrition Landscape Information System (NLIS) Country Profile indiCators","type":"report"},"uris":["http://www.mendeley.com/documents/?uuid=871faed9-7478-3f90-a87d-6055d2a2ef2d"]}],"mendeley":{"formattedCitation":"(WHO, 2010)","plainTextFormattedCitation":"(WHO, 2010)","previouslyFormattedCitation":"(WHO, 2010)"},"properties":{"noteIndex":0},"schema":"https://github.com/citation-style-language/schema/raw/master/csl-citation.json"}</w:instrText>
      </w:r>
      <w:r w:rsidRPr="001C72A7">
        <w:rPr>
          <w:rFonts w:eastAsia="Times New Roman" w:cs="Times New Roman"/>
          <w:sz w:val="22"/>
          <w:szCs w:val="22"/>
          <w:highlight w:val="white"/>
          <w:lang w:val="en"/>
        </w:rPr>
        <w:fldChar w:fldCharType="separate"/>
      </w:r>
      <w:r w:rsidRPr="001C72A7">
        <w:rPr>
          <w:rFonts w:eastAsia="Times New Roman" w:cs="Times New Roman"/>
          <w:noProof/>
          <w:sz w:val="22"/>
          <w:szCs w:val="22"/>
          <w:highlight w:val="white"/>
          <w:lang w:val="en"/>
        </w:rPr>
        <w:t>(WHO, 2010)</w:t>
      </w:r>
      <w:r w:rsidRPr="001C72A7">
        <w:rPr>
          <w:rFonts w:eastAsia="Times New Roman" w:cs="Times New Roman"/>
          <w:sz w:val="22"/>
          <w:szCs w:val="22"/>
          <w:highlight w:val="white"/>
          <w:lang w:val="en"/>
        </w:rPr>
        <w:fldChar w:fldCharType="end"/>
      </w:r>
      <w:r w:rsidRPr="001C72A7">
        <w:rPr>
          <w:rFonts w:eastAsia="Times New Roman" w:cs="Times New Roman"/>
          <w:sz w:val="22"/>
          <w:szCs w:val="22"/>
          <w:highlight w:val="white"/>
          <w:lang w:val="en"/>
        </w:rPr>
        <w:t xml:space="preserve">. The indicator reflects failure to reach linear growth potential as a result of suboptimal health and/or nutritional conditions </w:t>
      </w:r>
      <w:r w:rsidRPr="001C72A7">
        <w:rPr>
          <w:rFonts w:eastAsia="Times New Roman" w:cs="Times New Roman"/>
          <w:sz w:val="22"/>
          <w:szCs w:val="22"/>
          <w:highlight w:val="white"/>
          <w:lang w:val="en"/>
        </w:rPr>
        <w:fldChar w:fldCharType="begin" w:fldLock="1"/>
      </w:r>
      <w:r w:rsidRPr="001C72A7">
        <w:rPr>
          <w:rFonts w:eastAsia="Times New Roman" w:cs="Times New Roman"/>
          <w:sz w:val="22"/>
          <w:szCs w:val="22"/>
          <w:highlight w:val="white"/>
          <w:lang w:val="en"/>
        </w:rPr>
        <w:instrText>ADDIN CSL_CITATION {"citationItems":[{"id":"ITEM-1","itemData":{"DOI":"10.1017/S1368980018002434","ISBN":"1368980018002","ISSN":"14752727","abstract":"Objective Prevalence ranges to classify levels of wasting and stunting have been used since the 1990s for global monitoring of malnutrition. Recent developments prompted a re-examination of existing ranges and development of new ones for childhood overweight. The present paper reports from the WHO–UNICEF Technical Expert Advisory Group on Nutrition Monitoring. Design Thresholds were developed in relation to sd of the normative WHO Child Growth Standards. The international definition of ‘normal’ (2 sd below/above the WHO standards median) defines the first threshold, which includes 2·3 % of the area under the normalized distribution. Multipliers of this ‘very low’ level (rounded to 2·5 %) set the basis to establish subsequent thresholds. Country groupings using the thresholds were produced using the most recent set of national surveys. Setting One hundred and thirty-four countries. Subjects Children under 5 years. Results For wasting and overweight, thresholds are: ‘very low’ (&lt;2·5 %), ‘low’ (≈1–2 times 2·5 %), ‘medium’ (≈2–4 times 2·5 %), ‘high’ (≈4–6 times 2·5 %) and ‘very high’ (&gt;≈6 times 2·5 %). For stunting, thresholds are: ‘very low’ (&lt;2·5 %), ‘low’ (≈1–4 times 2·5 %), ‘medium’ (≈4–8 times 2·5 %), ‘high’ (≈8–12 times 2·5 %) and ‘very high’ (&gt;≈12 times 2·5 %). Conclusions The proposed thresholds minimize changes and keep coherence across anthropometric indicators. They can be used for descriptive purposes to map countries according to severity levels; by donors and global actors to identify priority countries for action; and by governments to trigger action and target programmes aimed at achieving ‘low’ or ‘very low’ levels. Harmonized terminology will help avoid confusion and promote appropriate interventions.","author":[{"dropping-particle":"","family":"Onis","given":"Mercedes","non-dropping-particle":"De","parse-names":false,"suffix":""},{"dropping-particle":"","family":"Borghi","given":"Elaine","non-dropping-particle":"","parse-names":false,"suffix":""},{"dropping-particle":"","family":"Arimond","given":"Mary","non-dropping-particle":"","parse-names":false,"suffix":""},{"dropping-particle":"","family":"Webb","given":"Patrick","non-dropping-particle":"","parse-names":false,"suffix":""},{"dropping-particle":"","family":"Croft","given":"Trevor","non-dropping-particle":"","parse-names":false,"suffix":""},{"dropping-particle":"","family":"Saha","given":"Kuntal","non-dropping-particle":"","parse-names":false,"suffix":""},{"dropping-particle":"","family":"De-Regil","given":"Luz Maria","non-dropping-particle":"","parse-names":false,"suffix":""},{"dropping-particle":"","family":"Thuita","given":"Faith","non-dropping-particle":"","parse-names":false,"suffix":""},{"dropping-particle":"","family":"Heidkamp","given":"Rebecca","non-dropping-particle":"","parse-names":false,"suffix":""},{"dropping-particle":"","family":"Krasevec","given":"Julia","non-dropping-particle":"","parse-names":false,"suffix":""},{"dropping-particle":"","family":"Hayashi","given":"Chika","non-dropping-particle":"","parse-names":false,"suffix":""},{"dropping-particle":"","family":"Flores-Ayala","given":"Rafael","non-dropping-particle":"","parse-names":false,"suffix":""}],"container-title":"Public Health Nutrition","id":"ITEM-1","issue":"1","issued":{"date-parts":[["2019"]]},"page":"175-179","title":"Prevalence thresholds for wasting, overweight and stunting in children under 5 years","type":"article-journal","volume":"22"},"uris":["http://www.mendeley.com/documents/?uuid=a599a6e8-dda5-4967-93a5-62219dfc3e7a"]},{"id":"ITEM-2","itemData":{"author":[{"dropping-particle":"","family":"WHO","given":"","non-dropping-particle":"","parse-names":false,"suffix":""}],"id":"ITEM-2","issued":{"date-parts":[["2010"]]},"title":"Interpretation Guide Nutrition Landscape Information System (NLIS) Country Profile indiCators","type":"report"},"uris":["http://www.mendeley.com/documents/?uuid=871faed9-7478-3f90-a87d-6055d2a2ef2d"]},{"id":"ITEM-3","itemData":{"author":[{"dropping-particle":"","family":"WHO","given":"","non-dropping-particle":"","parse-names":false,"suffix":""}],"id":"ITEM-3","issue":"2","issued":{"date-parts":[["2014"]]},"number-of-pages":"74-76, 78","publisher-place":"Geneva, Switzerland","title":"Global Nutrition Targets 2025 Stunting Policy Brief","type":"report","volume":"122"},"uris":["http://www.mendeley.com/documents/?uuid=3c8fe1ce-e126-451c-bf3e-cc307d2be5ae"]}],"mendeley":{"formattedCitation":"(WHO, 2010, 2014; De Onis &lt;i&gt;et al.&lt;/i&gt;, 2019)","plainTextFormattedCitation":"(WHO, 2010, 2014; De Onis et al., 2019)","previouslyFormattedCitation":"(WHO, 2010, 2014; De Onis &lt;i&gt;et al.&lt;/i&gt;, 2019)"},"properties":{"noteIndex":0},"schema":"https://github.com/citation-style-language/schema/raw/master/csl-citation.json"}</w:instrText>
      </w:r>
      <w:r w:rsidRPr="001C72A7">
        <w:rPr>
          <w:rFonts w:eastAsia="Times New Roman" w:cs="Times New Roman"/>
          <w:sz w:val="22"/>
          <w:szCs w:val="22"/>
          <w:highlight w:val="white"/>
          <w:lang w:val="en"/>
        </w:rPr>
        <w:fldChar w:fldCharType="separate"/>
      </w:r>
      <w:r w:rsidRPr="001C72A7">
        <w:rPr>
          <w:rFonts w:eastAsia="Times New Roman" w:cs="Times New Roman"/>
          <w:noProof/>
          <w:sz w:val="22"/>
          <w:szCs w:val="22"/>
          <w:highlight w:val="white"/>
          <w:lang w:val="en"/>
        </w:rPr>
        <w:t xml:space="preserve">(WHO, 2010, 2014; De Onis </w:t>
      </w:r>
      <w:r w:rsidRPr="001C72A7">
        <w:rPr>
          <w:rFonts w:eastAsia="Times New Roman" w:cs="Times New Roman"/>
          <w:i/>
          <w:noProof/>
          <w:sz w:val="22"/>
          <w:szCs w:val="22"/>
          <w:highlight w:val="white"/>
          <w:lang w:val="en"/>
        </w:rPr>
        <w:t>et al.</w:t>
      </w:r>
      <w:r w:rsidRPr="001C72A7">
        <w:rPr>
          <w:rFonts w:eastAsia="Times New Roman" w:cs="Times New Roman"/>
          <w:noProof/>
          <w:sz w:val="22"/>
          <w:szCs w:val="22"/>
          <w:highlight w:val="white"/>
          <w:lang w:val="en"/>
        </w:rPr>
        <w:t>, 2019)</w:t>
      </w:r>
      <w:r w:rsidRPr="001C72A7">
        <w:rPr>
          <w:rFonts w:eastAsia="Times New Roman" w:cs="Times New Roman"/>
          <w:sz w:val="22"/>
          <w:szCs w:val="22"/>
          <w:highlight w:val="white"/>
          <w:lang w:val="en"/>
        </w:rPr>
        <w:fldChar w:fldCharType="end"/>
      </w:r>
      <w:r w:rsidRPr="001C72A7">
        <w:rPr>
          <w:rFonts w:eastAsia="Times New Roman" w:cs="Times New Roman"/>
          <w:sz w:val="22"/>
          <w:szCs w:val="22"/>
          <w:highlight w:val="white"/>
          <w:lang w:val="en"/>
        </w:rPr>
        <w:t>.</w:t>
      </w:r>
      <w:r w:rsidRPr="001C72A7">
        <w:rPr>
          <w:rFonts w:eastAsia="Times New Roman" w:cs="Times New Roman"/>
          <w:b/>
          <w:sz w:val="22"/>
          <w:szCs w:val="22"/>
          <w:lang w:val="en"/>
        </w:rPr>
        <w:t xml:space="preserve"> </w:t>
      </w:r>
      <w:r w:rsidRPr="001C72A7">
        <w:rPr>
          <w:rFonts w:eastAsia="Times New Roman" w:cs="Times New Roman"/>
          <w:sz w:val="22"/>
          <w:szCs w:val="22"/>
          <w:highlight w:val="white"/>
          <w:lang w:val="en"/>
        </w:rPr>
        <w:t xml:space="preserve">The measure assesses the percentage of children under age 5 whose height for age is more than two standard deviations below the median for the international reference population ages 0-59 months. </w:t>
      </w:r>
    </w:p>
    <w:p w:rsidR="001C72A7" w:rsidRPr="001C72A7" w:rsidRDefault="001C72A7" w:rsidP="001C72A7">
      <w:pPr>
        <w:spacing w:line="360" w:lineRule="auto"/>
        <w:rPr>
          <w:rFonts w:eastAsia="Times New Roman" w:cs="Times New Roman"/>
          <w:sz w:val="22"/>
          <w:szCs w:val="22"/>
          <w:highlight w:val="white"/>
          <w:lang w:val="en"/>
        </w:rPr>
      </w:pPr>
      <w:r w:rsidRPr="001C72A7">
        <w:rPr>
          <w:rFonts w:eastAsia="Times New Roman" w:cs="Times New Roman"/>
          <w:b/>
          <w:sz w:val="22"/>
          <w:szCs w:val="22"/>
          <w:highlight w:val="white"/>
          <w:lang w:val="en"/>
        </w:rPr>
        <w:t>Prevalence of malnutrition</w:t>
      </w:r>
      <w:r w:rsidRPr="001C72A7">
        <w:rPr>
          <w:rFonts w:eastAsia="Times New Roman" w:cs="Times New Roman"/>
          <w:sz w:val="22"/>
          <w:szCs w:val="22"/>
          <w:highlight w:val="white"/>
          <w:lang w:val="en"/>
        </w:rPr>
        <w:t xml:space="preserve"> is captured in terms of two indicators wasting and overweight. Prevalence of wasting refers to the proportion of children under the age of 5 whose weight for height is more than two standard deviations below the median for the WHO Child Growth Standards </w:t>
      </w:r>
      <w:r w:rsidRPr="001C72A7">
        <w:rPr>
          <w:rFonts w:eastAsia="Times New Roman" w:cs="Times New Roman"/>
          <w:sz w:val="22"/>
          <w:szCs w:val="22"/>
          <w:highlight w:val="white"/>
          <w:lang w:val="en"/>
        </w:rPr>
        <w:fldChar w:fldCharType="begin" w:fldLock="1"/>
      </w:r>
      <w:r w:rsidRPr="001C72A7">
        <w:rPr>
          <w:rFonts w:eastAsia="Times New Roman" w:cs="Times New Roman"/>
          <w:sz w:val="22"/>
          <w:szCs w:val="22"/>
          <w:highlight w:val="white"/>
          <w:lang w:val="en"/>
        </w:rPr>
        <w:instrText>ADDIN CSL_CITATION {"citationItems":[{"id":"ITEM-1","itemData":{"URL":"https://databank.worldbank.org/reports.aspx?source=sustainable-development-goals-(sdgs)","accessed":{"date-parts":[["2020","5","19"]]},"author":[{"dropping-particle":"","family":"World Bank","given":"","non-dropping-particle":"","parse-names":false,"suffix":""}],"container-title":"Databank","id":"ITEM-1","issued":{"date-parts":[["2019"]]},"title":"Sustainable Development Goals (SDGs) | DataBank","type":"webpage"},"uris":["http://www.mendeley.com/documents/?uuid=0c382878-818c-3e77-8db5-c27732c26694"]}],"mendeley":{"formattedCitation":"(World Bank, 2019)","plainTextFormattedCitation":"(World Bank, 2019)","previouslyFormattedCitation":"(World Bank, 2019)"},"properties":{"noteIndex":0},"schema":"https://github.com/citation-style-language/schema/raw/master/csl-citation.json"}</w:instrText>
      </w:r>
      <w:r w:rsidRPr="001C72A7">
        <w:rPr>
          <w:rFonts w:eastAsia="Times New Roman" w:cs="Times New Roman"/>
          <w:sz w:val="22"/>
          <w:szCs w:val="22"/>
          <w:highlight w:val="white"/>
          <w:lang w:val="en"/>
        </w:rPr>
        <w:fldChar w:fldCharType="separate"/>
      </w:r>
      <w:r w:rsidRPr="001C72A7">
        <w:rPr>
          <w:rFonts w:eastAsia="Times New Roman" w:cs="Times New Roman"/>
          <w:noProof/>
          <w:sz w:val="22"/>
          <w:szCs w:val="22"/>
          <w:highlight w:val="white"/>
          <w:lang w:val="en"/>
        </w:rPr>
        <w:t>(World Bank, 2019)</w:t>
      </w:r>
      <w:r w:rsidRPr="001C72A7">
        <w:rPr>
          <w:rFonts w:eastAsia="Times New Roman" w:cs="Times New Roman"/>
          <w:sz w:val="22"/>
          <w:szCs w:val="22"/>
          <w:highlight w:val="white"/>
          <w:lang w:val="en"/>
        </w:rPr>
        <w:fldChar w:fldCharType="end"/>
      </w:r>
      <w:r w:rsidRPr="001C72A7">
        <w:rPr>
          <w:rFonts w:eastAsia="Times New Roman" w:cs="Times New Roman"/>
          <w:sz w:val="22"/>
          <w:szCs w:val="22"/>
          <w:highlight w:val="white"/>
          <w:lang w:val="en"/>
        </w:rPr>
        <w:t xml:space="preserve">. Prevalence of overweight is the percentage of children under age 5 whose weight for height is greater than 2 standard deviations above the median of the WHO Child Growth Standards </w:t>
      </w:r>
      <w:r w:rsidRPr="001C72A7">
        <w:rPr>
          <w:rFonts w:eastAsia="Times New Roman" w:cs="Times New Roman"/>
          <w:sz w:val="22"/>
          <w:szCs w:val="22"/>
          <w:highlight w:val="white"/>
          <w:lang w:val="en"/>
        </w:rPr>
        <w:fldChar w:fldCharType="begin" w:fldLock="1"/>
      </w:r>
      <w:r w:rsidRPr="001C72A7">
        <w:rPr>
          <w:rFonts w:eastAsia="Times New Roman" w:cs="Times New Roman"/>
          <w:sz w:val="22"/>
          <w:szCs w:val="22"/>
          <w:highlight w:val="white"/>
          <w:lang w:val="en"/>
        </w:rPr>
        <w:instrText>ADDIN CSL_CITATION {"citationItems":[{"id":"ITEM-1","itemData":{"URL":"https://databank.worldbank.org/reports.aspx?source=sustainable-development-goals-(sdgs)","accessed":{"date-parts":[["2020","5","19"]]},"author":[{"dropping-particle":"","family":"World Bank","given":"","non-dropping-particle":"","parse-names":false,"suffix":""}],"container-title":"Databank","id":"ITEM-1","issued":{"date-parts":[["2019"]]},"title":"Sustainable Development Goals (SDGs) | DataBank","type":"webpage"},"uris":["http://www.mendeley.com/documents/?uuid=0c382878-818c-3e77-8db5-c27732c26694"]}],"mendeley":{"formattedCitation":"(World Bank, 2019)","plainTextFormattedCitation":"(World Bank, 2019)","previouslyFormattedCitation":"(World Bank, 2019)"},"properties":{"noteIndex":0},"schema":"https://github.com/citation-style-language/schema/raw/master/csl-citation.json"}</w:instrText>
      </w:r>
      <w:r w:rsidRPr="001C72A7">
        <w:rPr>
          <w:rFonts w:eastAsia="Times New Roman" w:cs="Times New Roman"/>
          <w:sz w:val="22"/>
          <w:szCs w:val="22"/>
          <w:highlight w:val="white"/>
          <w:lang w:val="en"/>
        </w:rPr>
        <w:fldChar w:fldCharType="separate"/>
      </w:r>
      <w:r w:rsidRPr="001C72A7">
        <w:rPr>
          <w:rFonts w:eastAsia="Times New Roman" w:cs="Times New Roman"/>
          <w:noProof/>
          <w:sz w:val="22"/>
          <w:szCs w:val="22"/>
          <w:highlight w:val="white"/>
          <w:lang w:val="en"/>
        </w:rPr>
        <w:t>(World Bank, 2019)</w:t>
      </w:r>
      <w:r w:rsidRPr="001C72A7">
        <w:rPr>
          <w:rFonts w:eastAsia="Times New Roman" w:cs="Times New Roman"/>
          <w:sz w:val="22"/>
          <w:szCs w:val="22"/>
          <w:highlight w:val="white"/>
          <w:lang w:val="en"/>
        </w:rPr>
        <w:fldChar w:fldCharType="end"/>
      </w:r>
      <w:r w:rsidRPr="001C72A7">
        <w:rPr>
          <w:rFonts w:eastAsia="Times New Roman" w:cs="Times New Roman"/>
          <w:sz w:val="22"/>
          <w:szCs w:val="22"/>
          <w:highlight w:val="white"/>
          <w:lang w:val="en"/>
        </w:rPr>
        <w:t xml:space="preserve">. </w:t>
      </w:r>
    </w:p>
    <w:p w:rsidR="001C72A7" w:rsidRPr="001C72A7" w:rsidRDefault="001C72A7" w:rsidP="001C72A7">
      <w:pPr>
        <w:spacing w:line="360" w:lineRule="auto"/>
        <w:rPr>
          <w:rFonts w:eastAsia="Times New Roman" w:cs="Times New Roman"/>
          <w:i/>
          <w:sz w:val="22"/>
          <w:szCs w:val="22"/>
          <w:lang w:val="en"/>
        </w:rPr>
      </w:pPr>
      <w:r w:rsidRPr="001C72A7">
        <w:rPr>
          <w:rFonts w:eastAsia="Times New Roman" w:cs="Times New Roman"/>
          <w:i/>
          <w:sz w:val="22"/>
          <w:szCs w:val="22"/>
          <w:lang w:val="en"/>
        </w:rPr>
        <w:t>Sources of the Data and Analysis Procedures</w:t>
      </w:r>
    </w:p>
    <w:p w:rsidR="001C72A7" w:rsidRPr="001C72A7" w:rsidRDefault="001C72A7" w:rsidP="001C72A7">
      <w:pPr>
        <w:pBdr>
          <w:top w:val="nil"/>
          <w:left w:val="nil"/>
          <w:bottom w:val="nil"/>
          <w:right w:val="nil"/>
          <w:between w:val="nil"/>
        </w:pBdr>
        <w:spacing w:line="360" w:lineRule="auto"/>
        <w:rPr>
          <w:rFonts w:eastAsia="Times New Roman" w:cs="Times New Roman"/>
          <w:sz w:val="22"/>
          <w:szCs w:val="22"/>
          <w:lang w:val="en"/>
        </w:rPr>
      </w:pPr>
      <w:r w:rsidRPr="001C72A7">
        <w:rPr>
          <w:rFonts w:eastAsia="Times New Roman" w:cs="Times New Roman"/>
          <w:b/>
          <w:sz w:val="22"/>
          <w:szCs w:val="22"/>
          <w:highlight w:val="white"/>
          <w:lang w:val="en"/>
        </w:rPr>
        <w:t xml:space="preserve">Sources of data. </w:t>
      </w:r>
      <w:r w:rsidRPr="001C72A7">
        <w:rPr>
          <w:rFonts w:eastAsia="Times New Roman" w:cs="Times New Roman"/>
          <w:sz w:val="22"/>
          <w:szCs w:val="22"/>
          <w:highlight w:val="white"/>
          <w:lang w:val="en"/>
        </w:rPr>
        <w:t xml:space="preserve">The study uses data from two primary sources: The World Bank Sustainable Development Goals, and </w:t>
      </w:r>
      <w:r w:rsidRPr="001C72A7">
        <w:rPr>
          <w:rFonts w:eastAsia="Times New Roman" w:cs="Times New Roman"/>
          <w:sz w:val="22"/>
          <w:szCs w:val="22"/>
          <w:lang w:val="en"/>
        </w:rPr>
        <w:t>the Joint Malnutrition Estimates</w:t>
      </w:r>
      <w:r w:rsidRPr="001C72A7">
        <w:rPr>
          <w:rFonts w:eastAsia="Times New Roman" w:cs="Times New Roman"/>
          <w:sz w:val="22"/>
          <w:szCs w:val="22"/>
          <w:highlight w:val="white"/>
          <w:lang w:val="en"/>
        </w:rPr>
        <w:t xml:space="preserve">. Specifically, data on prevalence of undernourishment and prevalence of stunting come from the World Bank Sustainable Development Goals </w:t>
      </w:r>
      <w:r w:rsidRPr="001C72A7">
        <w:rPr>
          <w:rFonts w:eastAsia="Times New Roman" w:cs="Times New Roman"/>
          <w:sz w:val="22"/>
          <w:szCs w:val="22"/>
          <w:highlight w:val="white"/>
          <w:lang w:val="en"/>
        </w:rPr>
        <w:fldChar w:fldCharType="begin" w:fldLock="1"/>
      </w:r>
      <w:r w:rsidRPr="001C72A7">
        <w:rPr>
          <w:rFonts w:eastAsia="Times New Roman" w:cs="Times New Roman"/>
          <w:sz w:val="22"/>
          <w:szCs w:val="22"/>
          <w:highlight w:val="white"/>
          <w:lang w:val="en"/>
        </w:rPr>
        <w:instrText>ADDIN CSL_CITATION {"citationItems":[{"id":"ITEM-1","itemData":{"URL":"https://databank.worldbank.org/reports.aspx?source=sustainable-development-goals-(sdgs)","accessed":{"date-parts":[["2020","5","19"]]},"author":[{"dropping-particle":"","family":"World Bank","given":"","non-dropping-particle":"","parse-names":false,"suffix":""}],"container-title":"Databank","id":"ITEM-1","issued":{"date-parts":[["2019"]]},"title":"Sustainable Development Goals (SDGs) | DataBank","type":"webpage"},"uris":["http://www.mendeley.com/documents/?uuid=0c382878-818c-3e77-8db5-c27732c26694"]}],"mendeley":{"formattedCitation":"(World Bank, 2019)","plainTextFormattedCitation":"(World Bank, 2019)","previouslyFormattedCitation":"(World Bank, 2019)"},"properties":{"noteIndex":0},"schema":"https://github.com/citation-style-language/schema/raw/master/csl-citation.json"}</w:instrText>
      </w:r>
      <w:r w:rsidRPr="001C72A7">
        <w:rPr>
          <w:rFonts w:eastAsia="Times New Roman" w:cs="Times New Roman"/>
          <w:sz w:val="22"/>
          <w:szCs w:val="22"/>
          <w:highlight w:val="white"/>
          <w:lang w:val="en"/>
        </w:rPr>
        <w:fldChar w:fldCharType="separate"/>
      </w:r>
      <w:r w:rsidRPr="001C72A7">
        <w:rPr>
          <w:rFonts w:eastAsia="Times New Roman" w:cs="Times New Roman"/>
          <w:noProof/>
          <w:sz w:val="22"/>
          <w:szCs w:val="22"/>
          <w:highlight w:val="white"/>
          <w:lang w:val="en"/>
        </w:rPr>
        <w:t>(World Bank, 2019)</w:t>
      </w:r>
      <w:r w:rsidRPr="001C72A7">
        <w:rPr>
          <w:rFonts w:eastAsia="Times New Roman" w:cs="Times New Roman"/>
          <w:sz w:val="22"/>
          <w:szCs w:val="22"/>
          <w:highlight w:val="white"/>
          <w:lang w:val="en"/>
        </w:rPr>
        <w:fldChar w:fldCharType="end"/>
      </w:r>
      <w:r w:rsidRPr="001C72A7">
        <w:rPr>
          <w:rFonts w:eastAsia="Times New Roman" w:cs="Times New Roman"/>
          <w:sz w:val="22"/>
          <w:szCs w:val="22"/>
          <w:highlight w:val="white"/>
          <w:lang w:val="en"/>
        </w:rPr>
        <w:t xml:space="preserve">. </w:t>
      </w:r>
      <w:r w:rsidRPr="001C72A7">
        <w:rPr>
          <w:rFonts w:eastAsia="Times New Roman" w:cs="Times New Roman"/>
          <w:sz w:val="22"/>
          <w:szCs w:val="22"/>
          <w:lang w:val="en"/>
        </w:rPr>
        <w:t xml:space="preserve">These data are available from 2015 to 2019.  Data on child malnutrition are from the Joint Malnutrition Estimates </w:t>
      </w:r>
      <w:r w:rsidRPr="001C72A7">
        <w:rPr>
          <w:rFonts w:eastAsia="Times New Roman" w:cs="Times New Roman"/>
          <w:sz w:val="22"/>
          <w:szCs w:val="22"/>
          <w:lang w:val="en"/>
        </w:rPr>
        <w:fldChar w:fldCharType="begin" w:fldLock="1"/>
      </w:r>
      <w:r w:rsidRPr="001C72A7">
        <w:rPr>
          <w:rFonts w:eastAsia="Times New Roman" w:cs="Times New Roman"/>
          <w:sz w:val="22"/>
          <w:szCs w:val="22"/>
          <w:lang w:val="en"/>
        </w:rPr>
        <w:instrText>ADDIN CSL_CITATION {"citationItems":[{"id":"ITEM-1","itemData":{"URL":"https://data.unicef.org/topic/nutrition/malnutrition/","accessed":{"date-parts":[["2009","9","20"]]},"author":[{"dropping-particle":"","family":"UNICEF","given":"","non-dropping-particle":"","parse-names":false,"suffix":""},{"dropping-particle":"","family":"WHO","given":"","non-dropping-particle":"","parse-names":false,"suffix":""},{"dropping-particle":"","family":"World Bank","given":"","non-dropping-particle":"","parse-names":false,"suffix":""}],"container-title":"UNICEF Data: Monitoring the situation of children and women","id":"ITEM-1","issued":{"date-parts":[["2019"]]},"title":"Joint child malnutrition estimates (global and regional), April 2019 edition","type":"webpage"},"uris":["http://www.mendeley.com/documents/?uuid=273c2196-f364-401d-9ff3-015a9bf21d51"]}],"mendeley":{"formattedCitation":"(UNICEF, WHO and World Bank, 2019)","plainTextFormattedCitation":"(UNICEF, WHO and World Bank, 2019)","previouslyFormattedCitation":"(UNICEF, WHO and World Bank, 2019)"},"properties":{"noteIndex":0},"schema":"https://github.com/citation-style-language/schema/raw/master/csl-citation.json"}</w:instrText>
      </w:r>
      <w:r w:rsidRPr="001C72A7">
        <w:rPr>
          <w:rFonts w:eastAsia="Times New Roman" w:cs="Times New Roman"/>
          <w:sz w:val="22"/>
          <w:szCs w:val="22"/>
          <w:lang w:val="en"/>
        </w:rPr>
        <w:fldChar w:fldCharType="separate"/>
      </w:r>
      <w:r w:rsidRPr="001C72A7">
        <w:rPr>
          <w:rFonts w:eastAsia="Times New Roman" w:cs="Times New Roman"/>
          <w:noProof/>
          <w:sz w:val="22"/>
          <w:szCs w:val="22"/>
          <w:lang w:val="en"/>
        </w:rPr>
        <w:t>(UNICEF, WHO and World Bank, 2019)</w:t>
      </w:r>
      <w:r w:rsidRPr="001C72A7">
        <w:rPr>
          <w:rFonts w:eastAsia="Times New Roman" w:cs="Times New Roman"/>
          <w:sz w:val="22"/>
          <w:szCs w:val="22"/>
          <w:lang w:val="en"/>
        </w:rPr>
        <w:fldChar w:fldCharType="end"/>
      </w:r>
      <w:r w:rsidRPr="001C72A7">
        <w:rPr>
          <w:rFonts w:eastAsia="Times New Roman" w:cs="Times New Roman"/>
          <w:sz w:val="22"/>
          <w:szCs w:val="22"/>
          <w:lang w:val="en"/>
        </w:rPr>
        <w:t>, which evaluates</w:t>
      </w:r>
      <w:r w:rsidRPr="001C72A7">
        <w:rPr>
          <w:rFonts w:eastAsia="Times New Roman" w:cs="Times New Roman"/>
          <w:sz w:val="22"/>
          <w:szCs w:val="22"/>
          <w:highlight w:val="white"/>
          <w:lang w:val="en"/>
        </w:rPr>
        <w:t xml:space="preserve"> global child malnutrition annually. The estimates capture two aspects of malnutrition: overweight and wasting as well as data on stunting. </w:t>
      </w:r>
      <w:r w:rsidRPr="001C72A7">
        <w:rPr>
          <w:rFonts w:eastAsia="Times New Roman" w:cs="Times New Roman"/>
          <w:sz w:val="22"/>
          <w:szCs w:val="22"/>
          <w:lang w:val="en"/>
        </w:rPr>
        <w:t xml:space="preserve">The data provides estimates from 2015 to 2019 </w:t>
      </w:r>
      <w:r w:rsidRPr="001C72A7">
        <w:rPr>
          <w:rFonts w:eastAsia="Times New Roman" w:cs="Times New Roman"/>
          <w:sz w:val="22"/>
          <w:szCs w:val="22"/>
          <w:lang w:val="en"/>
        </w:rPr>
        <w:fldChar w:fldCharType="begin" w:fldLock="1"/>
      </w:r>
      <w:r w:rsidRPr="001C72A7">
        <w:rPr>
          <w:rFonts w:eastAsia="Times New Roman" w:cs="Times New Roman"/>
          <w:sz w:val="22"/>
          <w:szCs w:val="22"/>
          <w:lang w:val="en"/>
        </w:rPr>
        <w:instrText>ADDIN CSL_CITATION {"citationItems":[{"id":"ITEM-1","itemData":{"URL":"https://data.unicef.org/topic/nutrition/malnutrition/","accessed":{"date-parts":[["2020","6","13"]]},"id":"ITEM-1","issued":{"date-parts":[["0"]]},"title":"Malnutrition in Children - UNICEF DATA","type":"webpage"},"uris":["http://www.mendeley.com/documents/?uuid=3c7f3806-ae9d-3d67-9f0d-3febc6396644"]}],"mendeley":{"formattedCitation":"(&lt;i&gt;Malnutrition in Children - UNICEF DATA&lt;/i&gt;, no date)","plainTextFormattedCitation":"(Malnutrition in Children - UNICEF DATA, no date)","previouslyFormattedCitation":"(&lt;i&gt;Malnutrition in Children - UNICEF DATA&lt;/i&gt;, no date)"},"properties":{"noteIndex":0},"schema":"https://github.com/citation-style-language/schema/raw/master/csl-citation.json"}</w:instrText>
      </w:r>
      <w:r w:rsidRPr="001C72A7">
        <w:rPr>
          <w:rFonts w:eastAsia="Times New Roman" w:cs="Times New Roman"/>
          <w:sz w:val="22"/>
          <w:szCs w:val="22"/>
          <w:lang w:val="en"/>
        </w:rPr>
        <w:fldChar w:fldCharType="separate"/>
      </w:r>
      <w:r w:rsidRPr="001C72A7">
        <w:rPr>
          <w:rFonts w:eastAsia="Times New Roman" w:cs="Times New Roman"/>
          <w:noProof/>
          <w:sz w:val="22"/>
          <w:szCs w:val="22"/>
          <w:lang w:val="en"/>
        </w:rPr>
        <w:t>(</w:t>
      </w:r>
      <w:r w:rsidRPr="001C72A7">
        <w:rPr>
          <w:rFonts w:eastAsia="Times New Roman" w:cs="Times New Roman"/>
          <w:i/>
          <w:noProof/>
          <w:sz w:val="22"/>
          <w:szCs w:val="22"/>
          <w:lang w:val="en"/>
        </w:rPr>
        <w:t>Malnutrition in Children - UNICEF DATA</w:t>
      </w:r>
      <w:r w:rsidRPr="001C72A7">
        <w:rPr>
          <w:rFonts w:eastAsia="Times New Roman" w:cs="Times New Roman"/>
          <w:noProof/>
          <w:sz w:val="22"/>
          <w:szCs w:val="22"/>
          <w:lang w:val="en"/>
        </w:rPr>
        <w:t>, no date)</w:t>
      </w:r>
      <w:r w:rsidRPr="001C72A7">
        <w:rPr>
          <w:rFonts w:eastAsia="Times New Roman" w:cs="Times New Roman"/>
          <w:sz w:val="22"/>
          <w:szCs w:val="22"/>
          <w:lang w:val="en"/>
        </w:rPr>
        <w:fldChar w:fldCharType="end"/>
      </w:r>
      <w:r w:rsidRPr="001C72A7">
        <w:rPr>
          <w:rFonts w:eastAsia="Times New Roman" w:cs="Times New Roman"/>
          <w:sz w:val="22"/>
          <w:szCs w:val="22"/>
          <w:lang w:val="en"/>
        </w:rPr>
        <w:t>.</w:t>
      </w:r>
    </w:p>
    <w:p w:rsidR="001C72A7" w:rsidRPr="001C72A7" w:rsidRDefault="001C72A7" w:rsidP="001C72A7">
      <w:pPr>
        <w:pBdr>
          <w:bottom w:val="none" w:sz="0" w:space="1" w:color="000000"/>
        </w:pBdr>
        <w:spacing w:before="160" w:line="360" w:lineRule="auto"/>
        <w:ind w:right="160"/>
        <w:rPr>
          <w:rFonts w:eastAsia="Times New Roman" w:cs="Times New Roman"/>
          <w:b/>
          <w:sz w:val="22"/>
          <w:szCs w:val="22"/>
          <w:lang w:val="en"/>
        </w:rPr>
      </w:pPr>
      <w:r w:rsidRPr="001C72A7">
        <w:rPr>
          <w:rFonts w:eastAsia="Times New Roman" w:cs="Times New Roman"/>
          <w:sz w:val="22"/>
          <w:szCs w:val="22"/>
          <w:lang w:val="en"/>
        </w:rPr>
        <w:t>Given that SDGs were implemented in 2016, data used in this study cover the period to 2015 (baseline), 2016, and 2017. It is important to acknowledge that a number of countries in the region have not reported data on the indicators of interest during this timeframe; only countries reporting data on the three indicators under goal #2 Zero Hunger (2.1.1 Prevalence of undernourishment; 2.2.1 Prevalence of stunting; and 2.2.2 Prevalence of malnutrition - overweight and wasting) are considered for this assessment.</w:t>
      </w:r>
    </w:p>
    <w:p w:rsidR="001C72A7" w:rsidRPr="001C72A7" w:rsidRDefault="001C72A7" w:rsidP="001C72A7">
      <w:pPr>
        <w:spacing w:line="360" w:lineRule="auto"/>
        <w:rPr>
          <w:rFonts w:eastAsia="Times New Roman" w:cs="Times New Roman"/>
          <w:b/>
          <w:sz w:val="22"/>
          <w:szCs w:val="22"/>
          <w:lang w:val="en"/>
        </w:rPr>
      </w:pPr>
      <w:r w:rsidRPr="001C72A7">
        <w:rPr>
          <w:rFonts w:eastAsia="Times New Roman" w:cs="Times New Roman"/>
          <w:b/>
          <w:sz w:val="22"/>
          <w:szCs w:val="22"/>
          <w:highlight w:val="white"/>
          <w:lang w:val="en"/>
        </w:rPr>
        <w:t xml:space="preserve">Assessment Procedures. </w:t>
      </w:r>
      <w:r w:rsidRPr="001C72A7">
        <w:rPr>
          <w:rFonts w:eastAsia="Times New Roman" w:cs="Times New Roman"/>
          <w:sz w:val="22"/>
          <w:szCs w:val="22"/>
          <w:highlight w:val="white"/>
          <w:lang w:val="en"/>
        </w:rPr>
        <w:t xml:space="preserve">The data on the prevalence of undernourishment were extracted from the World Bank Data Bank. Four available options were available, these are presented in table three. The World Bank Data Bank does not provide information on the sub-regions of sub-Saharan Africa (SSA). Hence, we selected study countries and organized them under  sub-regions. Following this, we averaged estimates on a given indicator by the sub-region. As observed, </w:t>
      </w:r>
      <w:r w:rsidRPr="001C72A7">
        <w:rPr>
          <w:rFonts w:eastAsia="Times New Roman" w:cs="Times New Roman"/>
          <w:sz w:val="22"/>
          <w:szCs w:val="22"/>
          <w:lang w:val="en"/>
        </w:rPr>
        <w:t>UNICEF, WHO, and the World Bank Group jointly estimate</w:t>
      </w:r>
      <w:r w:rsidRPr="001C72A7">
        <w:rPr>
          <w:rFonts w:eastAsia="Times New Roman" w:cs="Times New Roman"/>
          <w:sz w:val="22"/>
          <w:szCs w:val="22"/>
          <w:highlight w:val="white"/>
          <w:lang w:val="en"/>
        </w:rPr>
        <w:t xml:space="preserve"> the prevalence of malnutrition annually.</w:t>
      </w:r>
      <w:r w:rsidRPr="001C72A7">
        <w:rPr>
          <w:rFonts w:eastAsia="Times New Roman" w:cs="Times New Roman"/>
          <w:sz w:val="22"/>
          <w:szCs w:val="22"/>
          <w:lang w:val="en"/>
        </w:rPr>
        <w:t xml:space="preserve"> These estimates include data at the following levels: world, regions, and country from 2015 to 2018. Relevant statistics were extracted from the database.</w:t>
      </w:r>
    </w:p>
    <w:p w:rsidR="001C72A7" w:rsidRPr="001C72A7" w:rsidRDefault="001C72A7" w:rsidP="001C72A7">
      <w:pPr>
        <w:spacing w:line="360" w:lineRule="auto"/>
        <w:rPr>
          <w:rFonts w:eastAsia="Times New Roman" w:cs="Times New Roman"/>
          <w:b/>
          <w:sz w:val="22"/>
          <w:szCs w:val="22"/>
          <w:highlight w:val="yellow"/>
          <w:lang w:val="en"/>
        </w:rPr>
      </w:pPr>
      <w:r w:rsidRPr="001C72A7">
        <w:rPr>
          <w:rFonts w:eastAsia="Times New Roman" w:cs="Times New Roman"/>
          <w:b/>
          <w:sz w:val="22"/>
          <w:szCs w:val="22"/>
          <w:lang w:val="en"/>
        </w:rPr>
        <w:t>Benchmarking Progress: Key Study Observations</w:t>
      </w:r>
      <w:r w:rsidRPr="00215F0B">
        <w:rPr>
          <w:rFonts w:eastAsia="Times New Roman" w:cs="Times New Roman"/>
          <w:b/>
          <w:sz w:val="22"/>
          <w:szCs w:val="22"/>
          <w:lang w:val="en"/>
        </w:rPr>
        <w:t xml:space="preserve"> </w:t>
      </w:r>
      <w:r w:rsidRPr="001C72A7">
        <w:rPr>
          <w:rFonts w:eastAsia="Times New Roman" w:cs="Times New Roman"/>
          <w:b/>
          <w:sz w:val="22"/>
          <w:szCs w:val="22"/>
          <w:lang w:val="en"/>
        </w:rPr>
        <w:t xml:space="preserve">Prevalence of Undernourishment </w:t>
      </w:r>
    </w:p>
    <w:p w:rsidR="001C72A7" w:rsidRPr="001C72A7" w:rsidRDefault="001C72A7" w:rsidP="001C72A7">
      <w:pPr>
        <w:spacing w:line="360" w:lineRule="auto"/>
        <w:rPr>
          <w:rFonts w:eastAsia="Times New Roman" w:cs="Times New Roman"/>
          <w:sz w:val="22"/>
          <w:szCs w:val="22"/>
          <w:lang w:val="en"/>
        </w:rPr>
      </w:pPr>
      <w:r w:rsidRPr="001C72A7">
        <w:rPr>
          <w:rFonts w:eastAsia="Times New Roman" w:cs="Times New Roman"/>
          <w:sz w:val="22"/>
          <w:szCs w:val="22"/>
          <w:lang w:val="en"/>
        </w:rPr>
        <w:t>The data on undernourishment are not yet available for the period of 2018. Available data on the prevalence of undernourishment (% of population) covers the period 2015-2017. The data indicate a slight increase in the prevalence of undernourishment rates at both the world and regional levels (see Table 3). Globally, the prevalence of undernourishment was 10.60% in 2015, and increased to 10.80% in 2017. The prevalence of undernourishment in sub-Saharan Africa was 20.08% in 2015, which is two times the global rate.</w:t>
      </w:r>
    </w:p>
    <w:p w:rsidR="001C72A7" w:rsidRPr="001C72A7" w:rsidRDefault="001C72A7" w:rsidP="001C72A7">
      <w:pPr>
        <w:widowControl w:val="0"/>
        <w:spacing w:line="240" w:lineRule="auto"/>
        <w:rPr>
          <w:rFonts w:eastAsia="Times New Roman" w:cs="Times New Roman"/>
          <w:sz w:val="22"/>
          <w:szCs w:val="22"/>
          <w:lang w:val="en"/>
        </w:rPr>
      </w:pPr>
    </w:p>
    <w:p w:rsidR="00215F0B" w:rsidRPr="00215F0B" w:rsidRDefault="00215F0B" w:rsidP="00215F0B">
      <w:pPr>
        <w:widowControl w:val="0"/>
        <w:spacing w:line="240" w:lineRule="auto"/>
        <w:rPr>
          <w:rFonts w:eastAsia="Times New Roman" w:cs="Times New Roman"/>
          <w:b/>
          <w:sz w:val="19"/>
          <w:szCs w:val="19"/>
          <w:lang w:val="en"/>
        </w:rPr>
      </w:pPr>
      <w:r w:rsidRPr="00215F0B">
        <w:rPr>
          <w:rFonts w:eastAsia="Times New Roman" w:cs="Times New Roman"/>
          <w:b/>
          <w:sz w:val="19"/>
          <w:szCs w:val="19"/>
          <w:lang w:val="en"/>
        </w:rPr>
        <w:t>Table 3. Prevalence of Undernourishment  (% of Population)</w:t>
      </w:r>
    </w:p>
    <w:p w:rsidR="00215F0B" w:rsidRPr="00215F0B" w:rsidRDefault="00215F0B" w:rsidP="00215F0B">
      <w:pPr>
        <w:widowControl w:val="0"/>
        <w:spacing w:line="240" w:lineRule="auto"/>
        <w:rPr>
          <w:rFonts w:eastAsia="Times New Roman" w:cs="Times New Roman"/>
          <w:sz w:val="19"/>
          <w:szCs w:val="19"/>
          <w:lang w:val="en"/>
        </w:rPr>
      </w:pPr>
    </w:p>
    <w:tbl>
      <w:tblPr>
        <w:tblW w:w="5300" w:type="dxa"/>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Look w:val="0600" w:firstRow="0" w:lastRow="0" w:firstColumn="0" w:lastColumn="0" w:noHBand="1" w:noVBand="1"/>
      </w:tblPr>
      <w:tblGrid>
        <w:gridCol w:w="1610"/>
        <w:gridCol w:w="1170"/>
        <w:gridCol w:w="1440"/>
        <w:gridCol w:w="1080"/>
      </w:tblGrid>
      <w:tr w:rsidR="00215F0B" w:rsidRPr="00215F0B" w:rsidTr="00215F0B">
        <w:tc>
          <w:tcPr>
            <w:tcW w:w="1610" w:type="dxa"/>
            <w:shd w:val="clear" w:color="auto" w:fill="auto"/>
            <w:tcMar>
              <w:top w:w="100" w:type="dxa"/>
              <w:left w:w="100" w:type="dxa"/>
              <w:bottom w:w="100" w:type="dxa"/>
              <w:right w:w="100" w:type="dxa"/>
            </w:tcMar>
          </w:tcPr>
          <w:p w:rsidR="00215F0B" w:rsidRPr="00215F0B" w:rsidRDefault="00215F0B" w:rsidP="00215F0B">
            <w:pPr>
              <w:widowControl w:val="0"/>
              <w:pBdr>
                <w:top w:val="nil"/>
                <w:left w:val="nil"/>
                <w:bottom w:val="nil"/>
                <w:right w:val="nil"/>
                <w:between w:val="nil"/>
              </w:pBdr>
              <w:spacing w:line="240" w:lineRule="auto"/>
              <w:jc w:val="center"/>
              <w:rPr>
                <w:rFonts w:eastAsia="Times New Roman" w:cs="Times New Roman"/>
                <w:b/>
                <w:bCs/>
                <w:sz w:val="19"/>
                <w:szCs w:val="19"/>
                <w:lang w:val="en"/>
              </w:rPr>
            </w:pPr>
            <w:r w:rsidRPr="00215F0B">
              <w:rPr>
                <w:rFonts w:eastAsia="Times New Roman" w:cs="Times New Roman"/>
                <w:b/>
                <w:bCs/>
                <w:sz w:val="19"/>
                <w:szCs w:val="19"/>
                <w:lang w:val="en"/>
              </w:rPr>
              <w:t>Level</w:t>
            </w:r>
          </w:p>
        </w:tc>
        <w:tc>
          <w:tcPr>
            <w:tcW w:w="1170" w:type="dxa"/>
            <w:shd w:val="clear" w:color="auto" w:fill="auto"/>
            <w:tcMar>
              <w:top w:w="100" w:type="dxa"/>
              <w:left w:w="100" w:type="dxa"/>
              <w:bottom w:w="100" w:type="dxa"/>
              <w:right w:w="100" w:type="dxa"/>
            </w:tcMar>
          </w:tcPr>
          <w:p w:rsidR="00215F0B" w:rsidRPr="00215F0B" w:rsidRDefault="00215F0B" w:rsidP="00215F0B">
            <w:pPr>
              <w:widowControl w:val="0"/>
              <w:pBdr>
                <w:top w:val="nil"/>
                <w:left w:val="nil"/>
                <w:bottom w:val="nil"/>
                <w:right w:val="nil"/>
                <w:between w:val="nil"/>
              </w:pBdr>
              <w:spacing w:line="240" w:lineRule="auto"/>
              <w:rPr>
                <w:rFonts w:eastAsia="Times New Roman" w:cs="Times New Roman"/>
                <w:sz w:val="19"/>
                <w:szCs w:val="19"/>
                <w:lang w:val="en"/>
              </w:rPr>
            </w:pPr>
            <w:r w:rsidRPr="00215F0B">
              <w:rPr>
                <w:rFonts w:eastAsia="Times New Roman" w:cs="Times New Roman"/>
                <w:sz w:val="19"/>
                <w:szCs w:val="19"/>
                <w:lang w:val="en"/>
              </w:rPr>
              <w:t>2015</w:t>
            </w:r>
          </w:p>
        </w:tc>
        <w:tc>
          <w:tcPr>
            <w:tcW w:w="1440" w:type="dxa"/>
          </w:tcPr>
          <w:p w:rsidR="00215F0B" w:rsidRPr="00215F0B" w:rsidRDefault="00215F0B" w:rsidP="00215F0B">
            <w:pPr>
              <w:widowControl w:val="0"/>
              <w:pBdr>
                <w:top w:val="nil"/>
                <w:left w:val="nil"/>
                <w:bottom w:val="nil"/>
                <w:right w:val="nil"/>
                <w:between w:val="nil"/>
              </w:pBdr>
              <w:spacing w:line="240" w:lineRule="auto"/>
              <w:rPr>
                <w:rFonts w:eastAsia="Times New Roman" w:cs="Times New Roman"/>
                <w:sz w:val="19"/>
                <w:szCs w:val="19"/>
                <w:lang w:val="en"/>
              </w:rPr>
            </w:pPr>
            <w:r w:rsidRPr="00215F0B">
              <w:rPr>
                <w:rFonts w:eastAsia="Times New Roman" w:cs="Times New Roman"/>
                <w:sz w:val="19"/>
                <w:szCs w:val="19"/>
                <w:lang w:val="en"/>
              </w:rPr>
              <w:t>2016</w:t>
            </w:r>
          </w:p>
        </w:tc>
        <w:tc>
          <w:tcPr>
            <w:tcW w:w="1080" w:type="dxa"/>
          </w:tcPr>
          <w:p w:rsidR="00215F0B" w:rsidRPr="00215F0B" w:rsidRDefault="00215F0B" w:rsidP="00215F0B">
            <w:pPr>
              <w:widowControl w:val="0"/>
              <w:pBdr>
                <w:top w:val="nil"/>
                <w:left w:val="nil"/>
                <w:bottom w:val="nil"/>
                <w:right w:val="nil"/>
                <w:between w:val="nil"/>
              </w:pBdr>
              <w:spacing w:line="240" w:lineRule="auto"/>
              <w:rPr>
                <w:rFonts w:eastAsia="Times New Roman" w:cs="Times New Roman"/>
                <w:sz w:val="19"/>
                <w:szCs w:val="19"/>
                <w:lang w:val="en"/>
              </w:rPr>
            </w:pPr>
            <w:r w:rsidRPr="00215F0B">
              <w:rPr>
                <w:rFonts w:eastAsia="Times New Roman" w:cs="Times New Roman"/>
                <w:sz w:val="19"/>
                <w:szCs w:val="19"/>
                <w:lang w:val="en"/>
              </w:rPr>
              <w:t>2017</w:t>
            </w:r>
          </w:p>
        </w:tc>
      </w:tr>
      <w:tr w:rsidR="00215F0B" w:rsidRPr="00215F0B" w:rsidTr="00215F0B">
        <w:tc>
          <w:tcPr>
            <w:tcW w:w="1610" w:type="dxa"/>
            <w:shd w:val="clear" w:color="auto" w:fill="auto"/>
            <w:tcMar>
              <w:top w:w="100" w:type="dxa"/>
              <w:left w:w="100" w:type="dxa"/>
              <w:bottom w:w="100" w:type="dxa"/>
              <w:right w:w="100" w:type="dxa"/>
            </w:tcMar>
          </w:tcPr>
          <w:p w:rsidR="00215F0B" w:rsidRPr="00215F0B" w:rsidRDefault="00215F0B" w:rsidP="00215F0B">
            <w:pPr>
              <w:widowControl w:val="0"/>
              <w:pBdr>
                <w:top w:val="nil"/>
                <w:left w:val="nil"/>
                <w:bottom w:val="nil"/>
                <w:right w:val="nil"/>
                <w:between w:val="nil"/>
              </w:pBdr>
              <w:spacing w:line="240" w:lineRule="auto"/>
              <w:rPr>
                <w:rFonts w:eastAsia="Times New Roman" w:cs="Times New Roman"/>
                <w:sz w:val="19"/>
                <w:szCs w:val="19"/>
                <w:lang w:val="en"/>
              </w:rPr>
            </w:pPr>
            <w:r w:rsidRPr="00215F0B">
              <w:rPr>
                <w:rFonts w:eastAsia="Times New Roman" w:cs="Times New Roman"/>
                <w:sz w:val="19"/>
                <w:szCs w:val="19"/>
                <w:lang w:val="en"/>
              </w:rPr>
              <w:t>World Rate</w:t>
            </w:r>
          </w:p>
        </w:tc>
        <w:tc>
          <w:tcPr>
            <w:tcW w:w="1170" w:type="dxa"/>
            <w:shd w:val="clear" w:color="auto" w:fill="auto"/>
            <w:tcMar>
              <w:top w:w="100" w:type="dxa"/>
              <w:left w:w="100" w:type="dxa"/>
              <w:bottom w:w="100" w:type="dxa"/>
              <w:right w:w="100" w:type="dxa"/>
            </w:tcMar>
          </w:tcPr>
          <w:p w:rsidR="00215F0B" w:rsidRPr="00215F0B" w:rsidRDefault="00215F0B" w:rsidP="00215F0B">
            <w:pPr>
              <w:widowControl w:val="0"/>
              <w:pBdr>
                <w:top w:val="nil"/>
                <w:left w:val="nil"/>
                <w:bottom w:val="nil"/>
                <w:right w:val="nil"/>
                <w:between w:val="nil"/>
              </w:pBdr>
              <w:spacing w:line="240" w:lineRule="auto"/>
              <w:rPr>
                <w:rFonts w:eastAsia="Times New Roman" w:cs="Times New Roman"/>
                <w:sz w:val="19"/>
                <w:szCs w:val="19"/>
                <w:lang w:val="en"/>
              </w:rPr>
            </w:pPr>
            <w:r w:rsidRPr="00215F0B">
              <w:rPr>
                <w:rFonts w:eastAsia="Times New Roman" w:cs="Times New Roman"/>
                <w:sz w:val="19"/>
                <w:szCs w:val="19"/>
                <w:lang w:val="en"/>
              </w:rPr>
              <w:t>10.60</w:t>
            </w:r>
          </w:p>
        </w:tc>
        <w:tc>
          <w:tcPr>
            <w:tcW w:w="1440" w:type="dxa"/>
          </w:tcPr>
          <w:p w:rsidR="00215F0B" w:rsidRPr="00215F0B" w:rsidRDefault="00215F0B" w:rsidP="00215F0B">
            <w:pPr>
              <w:widowControl w:val="0"/>
              <w:pBdr>
                <w:top w:val="nil"/>
                <w:left w:val="nil"/>
                <w:bottom w:val="nil"/>
                <w:right w:val="nil"/>
                <w:between w:val="nil"/>
              </w:pBdr>
              <w:spacing w:line="240" w:lineRule="auto"/>
              <w:rPr>
                <w:rFonts w:eastAsia="Times New Roman" w:cs="Times New Roman"/>
                <w:sz w:val="19"/>
                <w:szCs w:val="19"/>
                <w:lang w:val="en"/>
              </w:rPr>
            </w:pPr>
            <w:r w:rsidRPr="00215F0B">
              <w:rPr>
                <w:rFonts w:eastAsia="Times New Roman" w:cs="Times New Roman"/>
                <w:sz w:val="19"/>
                <w:szCs w:val="19"/>
                <w:lang w:val="en"/>
              </w:rPr>
              <w:t>10.70</w:t>
            </w:r>
          </w:p>
        </w:tc>
        <w:tc>
          <w:tcPr>
            <w:tcW w:w="1080" w:type="dxa"/>
          </w:tcPr>
          <w:p w:rsidR="00215F0B" w:rsidRPr="00215F0B" w:rsidRDefault="00215F0B" w:rsidP="00215F0B">
            <w:pPr>
              <w:widowControl w:val="0"/>
              <w:pBdr>
                <w:top w:val="nil"/>
                <w:left w:val="nil"/>
                <w:bottom w:val="nil"/>
                <w:right w:val="nil"/>
                <w:between w:val="nil"/>
              </w:pBdr>
              <w:spacing w:line="240" w:lineRule="auto"/>
              <w:rPr>
                <w:rFonts w:eastAsia="Times New Roman" w:cs="Times New Roman"/>
                <w:sz w:val="19"/>
                <w:szCs w:val="19"/>
                <w:lang w:val="en"/>
              </w:rPr>
            </w:pPr>
            <w:r w:rsidRPr="00215F0B">
              <w:rPr>
                <w:rFonts w:eastAsia="Times New Roman" w:cs="Times New Roman"/>
                <w:sz w:val="19"/>
                <w:szCs w:val="19"/>
                <w:lang w:val="en"/>
              </w:rPr>
              <w:t>10.80</w:t>
            </w:r>
          </w:p>
        </w:tc>
      </w:tr>
      <w:tr w:rsidR="00215F0B" w:rsidRPr="00215F0B" w:rsidTr="00215F0B">
        <w:tc>
          <w:tcPr>
            <w:tcW w:w="1610" w:type="dxa"/>
            <w:shd w:val="clear" w:color="auto" w:fill="auto"/>
            <w:tcMar>
              <w:top w:w="100" w:type="dxa"/>
              <w:left w:w="100" w:type="dxa"/>
              <w:bottom w:w="100" w:type="dxa"/>
              <w:right w:w="100" w:type="dxa"/>
            </w:tcMar>
          </w:tcPr>
          <w:p w:rsidR="00215F0B" w:rsidRPr="00215F0B" w:rsidRDefault="00215F0B" w:rsidP="00215F0B">
            <w:pPr>
              <w:widowControl w:val="0"/>
              <w:pBdr>
                <w:top w:val="nil"/>
                <w:left w:val="nil"/>
                <w:bottom w:val="nil"/>
                <w:right w:val="nil"/>
                <w:between w:val="nil"/>
              </w:pBdr>
              <w:spacing w:line="240" w:lineRule="auto"/>
              <w:rPr>
                <w:rFonts w:eastAsia="Times New Roman" w:cs="Times New Roman"/>
                <w:sz w:val="19"/>
                <w:szCs w:val="19"/>
                <w:lang w:val="en"/>
              </w:rPr>
            </w:pPr>
            <w:r w:rsidRPr="00215F0B">
              <w:rPr>
                <w:rFonts w:eastAsia="Times New Roman" w:cs="Times New Roman"/>
                <w:sz w:val="19"/>
                <w:szCs w:val="19"/>
                <w:lang w:val="en"/>
              </w:rPr>
              <w:t>Regional (SSA)</w:t>
            </w:r>
          </w:p>
        </w:tc>
        <w:tc>
          <w:tcPr>
            <w:tcW w:w="1170" w:type="dxa"/>
            <w:shd w:val="clear" w:color="auto" w:fill="auto"/>
            <w:tcMar>
              <w:top w:w="100" w:type="dxa"/>
              <w:left w:w="100" w:type="dxa"/>
              <w:bottom w:w="100" w:type="dxa"/>
              <w:right w:w="100" w:type="dxa"/>
            </w:tcMar>
          </w:tcPr>
          <w:p w:rsidR="00215F0B" w:rsidRPr="00215F0B" w:rsidRDefault="00215F0B" w:rsidP="00215F0B">
            <w:pPr>
              <w:widowControl w:val="0"/>
              <w:pBdr>
                <w:top w:val="nil"/>
                <w:left w:val="nil"/>
                <w:bottom w:val="nil"/>
                <w:right w:val="nil"/>
                <w:between w:val="nil"/>
              </w:pBdr>
              <w:spacing w:line="240" w:lineRule="auto"/>
              <w:rPr>
                <w:rFonts w:eastAsia="Times New Roman" w:cs="Times New Roman"/>
                <w:sz w:val="19"/>
                <w:szCs w:val="19"/>
                <w:lang w:val="en"/>
              </w:rPr>
            </w:pPr>
            <w:r w:rsidRPr="00215F0B">
              <w:rPr>
                <w:rFonts w:eastAsia="Times New Roman" w:cs="Times New Roman"/>
                <w:sz w:val="19"/>
                <w:szCs w:val="19"/>
                <w:lang w:val="en"/>
              </w:rPr>
              <w:t>20.08</w:t>
            </w:r>
          </w:p>
        </w:tc>
        <w:tc>
          <w:tcPr>
            <w:tcW w:w="1440" w:type="dxa"/>
          </w:tcPr>
          <w:p w:rsidR="00215F0B" w:rsidRPr="00215F0B" w:rsidRDefault="00215F0B" w:rsidP="00215F0B">
            <w:pPr>
              <w:widowControl w:val="0"/>
              <w:pBdr>
                <w:top w:val="nil"/>
                <w:left w:val="nil"/>
                <w:bottom w:val="nil"/>
                <w:right w:val="nil"/>
                <w:between w:val="nil"/>
              </w:pBdr>
              <w:spacing w:line="240" w:lineRule="auto"/>
              <w:rPr>
                <w:rFonts w:eastAsia="Times New Roman" w:cs="Times New Roman"/>
                <w:sz w:val="19"/>
                <w:szCs w:val="19"/>
                <w:lang w:val="en"/>
              </w:rPr>
            </w:pPr>
            <w:r w:rsidRPr="00215F0B">
              <w:rPr>
                <w:rFonts w:eastAsia="Times New Roman" w:cs="Times New Roman"/>
                <w:sz w:val="19"/>
                <w:szCs w:val="19"/>
                <w:lang w:val="en"/>
              </w:rPr>
              <w:t>20.71</w:t>
            </w:r>
          </w:p>
        </w:tc>
        <w:tc>
          <w:tcPr>
            <w:tcW w:w="1080" w:type="dxa"/>
          </w:tcPr>
          <w:p w:rsidR="00215F0B" w:rsidRPr="00215F0B" w:rsidRDefault="00215F0B" w:rsidP="00215F0B">
            <w:pPr>
              <w:widowControl w:val="0"/>
              <w:pBdr>
                <w:top w:val="nil"/>
                <w:left w:val="nil"/>
                <w:bottom w:val="nil"/>
                <w:right w:val="nil"/>
                <w:between w:val="nil"/>
              </w:pBdr>
              <w:spacing w:line="240" w:lineRule="auto"/>
              <w:rPr>
                <w:rFonts w:eastAsia="Times New Roman" w:cs="Times New Roman"/>
                <w:sz w:val="19"/>
                <w:szCs w:val="19"/>
                <w:lang w:val="en"/>
              </w:rPr>
            </w:pPr>
            <w:r w:rsidRPr="00215F0B">
              <w:rPr>
                <w:rFonts w:eastAsia="Times New Roman" w:cs="Times New Roman"/>
                <w:sz w:val="19"/>
                <w:szCs w:val="19"/>
                <w:lang w:val="en"/>
              </w:rPr>
              <w:t>21.35</w:t>
            </w:r>
          </w:p>
        </w:tc>
      </w:tr>
      <w:tr w:rsidR="00215F0B" w:rsidRPr="00215F0B" w:rsidTr="00215F0B">
        <w:tc>
          <w:tcPr>
            <w:tcW w:w="1610" w:type="dxa"/>
            <w:shd w:val="clear" w:color="auto" w:fill="auto"/>
            <w:tcMar>
              <w:top w:w="100" w:type="dxa"/>
              <w:left w:w="100" w:type="dxa"/>
              <w:bottom w:w="100" w:type="dxa"/>
              <w:right w:w="100" w:type="dxa"/>
            </w:tcMar>
          </w:tcPr>
          <w:p w:rsidR="00215F0B" w:rsidRPr="00215F0B" w:rsidRDefault="00215F0B" w:rsidP="00215F0B">
            <w:pPr>
              <w:widowControl w:val="0"/>
              <w:pBdr>
                <w:top w:val="nil"/>
                <w:left w:val="nil"/>
                <w:bottom w:val="nil"/>
                <w:right w:val="nil"/>
                <w:between w:val="nil"/>
              </w:pBdr>
              <w:spacing w:line="240" w:lineRule="auto"/>
              <w:rPr>
                <w:rFonts w:eastAsia="Times New Roman" w:cs="Times New Roman"/>
                <w:sz w:val="19"/>
                <w:szCs w:val="19"/>
                <w:lang w:val="en"/>
              </w:rPr>
            </w:pPr>
            <w:r w:rsidRPr="00215F0B">
              <w:rPr>
                <w:rFonts w:eastAsia="Times New Roman" w:cs="Times New Roman"/>
                <w:sz w:val="19"/>
                <w:szCs w:val="19"/>
                <w:lang w:val="en"/>
              </w:rPr>
              <w:t>Eastern Africa</w:t>
            </w:r>
          </w:p>
        </w:tc>
        <w:tc>
          <w:tcPr>
            <w:tcW w:w="1170" w:type="dxa"/>
            <w:shd w:val="clear" w:color="auto" w:fill="auto"/>
            <w:tcMar>
              <w:top w:w="100" w:type="dxa"/>
              <w:left w:w="100" w:type="dxa"/>
              <w:bottom w:w="100" w:type="dxa"/>
              <w:right w:w="100" w:type="dxa"/>
            </w:tcMar>
          </w:tcPr>
          <w:p w:rsidR="00215F0B" w:rsidRPr="00215F0B" w:rsidRDefault="00215F0B" w:rsidP="00215F0B">
            <w:pPr>
              <w:widowControl w:val="0"/>
              <w:pBdr>
                <w:top w:val="nil"/>
                <w:left w:val="nil"/>
                <w:bottom w:val="nil"/>
                <w:right w:val="nil"/>
                <w:between w:val="nil"/>
              </w:pBdr>
              <w:spacing w:line="240" w:lineRule="auto"/>
              <w:rPr>
                <w:rFonts w:eastAsia="Times New Roman" w:cs="Times New Roman"/>
                <w:sz w:val="19"/>
                <w:szCs w:val="19"/>
                <w:lang w:val="en"/>
              </w:rPr>
            </w:pPr>
            <w:r w:rsidRPr="00215F0B">
              <w:rPr>
                <w:rFonts w:eastAsia="Times New Roman" w:cs="Times New Roman"/>
                <w:sz w:val="19"/>
                <w:szCs w:val="19"/>
                <w:lang w:val="en"/>
              </w:rPr>
              <w:t>29.74</w:t>
            </w:r>
          </w:p>
        </w:tc>
        <w:tc>
          <w:tcPr>
            <w:tcW w:w="1440" w:type="dxa"/>
          </w:tcPr>
          <w:p w:rsidR="00215F0B" w:rsidRPr="00215F0B" w:rsidRDefault="00215F0B" w:rsidP="00215F0B">
            <w:pPr>
              <w:widowControl w:val="0"/>
              <w:pBdr>
                <w:top w:val="nil"/>
                <w:left w:val="nil"/>
                <w:bottom w:val="nil"/>
                <w:right w:val="nil"/>
                <w:between w:val="nil"/>
              </w:pBdr>
              <w:spacing w:line="240" w:lineRule="auto"/>
              <w:rPr>
                <w:rFonts w:eastAsia="Times New Roman" w:cs="Times New Roman"/>
                <w:sz w:val="19"/>
                <w:szCs w:val="19"/>
                <w:lang w:val="en"/>
              </w:rPr>
            </w:pPr>
            <w:r w:rsidRPr="00215F0B">
              <w:rPr>
                <w:rFonts w:eastAsia="Times New Roman" w:cs="Times New Roman"/>
                <w:sz w:val="19"/>
                <w:szCs w:val="19"/>
                <w:lang w:val="en"/>
              </w:rPr>
              <w:t>30.43</w:t>
            </w:r>
          </w:p>
        </w:tc>
        <w:tc>
          <w:tcPr>
            <w:tcW w:w="1080" w:type="dxa"/>
          </w:tcPr>
          <w:p w:rsidR="00215F0B" w:rsidRPr="00215F0B" w:rsidRDefault="00215F0B" w:rsidP="00215F0B">
            <w:pPr>
              <w:widowControl w:val="0"/>
              <w:pBdr>
                <w:top w:val="nil"/>
                <w:left w:val="nil"/>
                <w:bottom w:val="nil"/>
                <w:right w:val="nil"/>
                <w:between w:val="nil"/>
              </w:pBdr>
              <w:spacing w:line="240" w:lineRule="auto"/>
              <w:rPr>
                <w:rFonts w:eastAsia="Times New Roman" w:cs="Times New Roman"/>
                <w:sz w:val="19"/>
                <w:szCs w:val="19"/>
                <w:lang w:val="en"/>
              </w:rPr>
            </w:pPr>
            <w:r w:rsidRPr="00215F0B">
              <w:rPr>
                <w:rFonts w:eastAsia="Times New Roman" w:cs="Times New Roman"/>
                <w:sz w:val="19"/>
                <w:szCs w:val="19"/>
                <w:lang w:val="en"/>
              </w:rPr>
              <w:t>30.98</w:t>
            </w:r>
          </w:p>
        </w:tc>
      </w:tr>
      <w:tr w:rsidR="00215F0B" w:rsidRPr="00215F0B" w:rsidTr="00215F0B">
        <w:tc>
          <w:tcPr>
            <w:tcW w:w="1610" w:type="dxa"/>
            <w:shd w:val="clear" w:color="auto" w:fill="auto"/>
            <w:tcMar>
              <w:top w:w="100" w:type="dxa"/>
              <w:left w:w="100" w:type="dxa"/>
              <w:bottom w:w="100" w:type="dxa"/>
              <w:right w:w="100" w:type="dxa"/>
            </w:tcMar>
          </w:tcPr>
          <w:p w:rsidR="00215F0B" w:rsidRPr="00215F0B" w:rsidRDefault="00215F0B" w:rsidP="00215F0B">
            <w:pPr>
              <w:widowControl w:val="0"/>
              <w:spacing w:line="240" w:lineRule="auto"/>
              <w:rPr>
                <w:rFonts w:eastAsia="Times New Roman" w:cs="Times New Roman"/>
                <w:sz w:val="19"/>
                <w:szCs w:val="19"/>
                <w:lang w:val="en"/>
              </w:rPr>
            </w:pPr>
            <w:r w:rsidRPr="00215F0B">
              <w:rPr>
                <w:rFonts w:eastAsia="Times New Roman" w:cs="Times New Roman"/>
                <w:sz w:val="19"/>
                <w:szCs w:val="19"/>
                <w:lang w:val="en"/>
              </w:rPr>
              <w:t>Middle  Africa</w:t>
            </w:r>
          </w:p>
        </w:tc>
        <w:tc>
          <w:tcPr>
            <w:tcW w:w="1170" w:type="dxa"/>
            <w:shd w:val="clear" w:color="auto" w:fill="auto"/>
            <w:tcMar>
              <w:top w:w="100" w:type="dxa"/>
              <w:left w:w="100" w:type="dxa"/>
              <w:bottom w:w="100" w:type="dxa"/>
              <w:right w:w="100" w:type="dxa"/>
            </w:tcMar>
          </w:tcPr>
          <w:p w:rsidR="00215F0B" w:rsidRPr="00215F0B" w:rsidRDefault="00215F0B" w:rsidP="00215F0B">
            <w:pPr>
              <w:widowControl w:val="0"/>
              <w:spacing w:line="240" w:lineRule="auto"/>
              <w:rPr>
                <w:rFonts w:eastAsia="Times New Roman" w:cs="Times New Roman"/>
                <w:sz w:val="19"/>
                <w:szCs w:val="19"/>
                <w:lang w:val="en"/>
              </w:rPr>
            </w:pPr>
            <w:r w:rsidRPr="00215F0B">
              <w:rPr>
                <w:rFonts w:eastAsia="Times New Roman" w:cs="Times New Roman"/>
                <w:sz w:val="19"/>
                <w:szCs w:val="19"/>
                <w:lang w:val="en"/>
              </w:rPr>
              <w:t>26.01</w:t>
            </w:r>
          </w:p>
        </w:tc>
        <w:tc>
          <w:tcPr>
            <w:tcW w:w="1440" w:type="dxa"/>
          </w:tcPr>
          <w:p w:rsidR="00215F0B" w:rsidRPr="00215F0B" w:rsidRDefault="00215F0B" w:rsidP="00215F0B">
            <w:pPr>
              <w:spacing w:line="240" w:lineRule="auto"/>
              <w:rPr>
                <w:rFonts w:eastAsia="Times New Roman" w:cs="Times New Roman"/>
                <w:sz w:val="19"/>
                <w:szCs w:val="19"/>
                <w:lang w:val="en"/>
              </w:rPr>
            </w:pPr>
            <w:r w:rsidRPr="00215F0B">
              <w:rPr>
                <w:rFonts w:eastAsia="Times New Roman" w:cs="Times New Roman"/>
                <w:sz w:val="19"/>
                <w:szCs w:val="19"/>
                <w:lang w:val="en"/>
              </w:rPr>
              <w:t>26.56</w:t>
            </w:r>
          </w:p>
        </w:tc>
        <w:tc>
          <w:tcPr>
            <w:tcW w:w="1080" w:type="dxa"/>
          </w:tcPr>
          <w:p w:rsidR="00215F0B" w:rsidRPr="00215F0B" w:rsidRDefault="00215F0B" w:rsidP="00215F0B">
            <w:pPr>
              <w:widowControl w:val="0"/>
              <w:spacing w:line="240" w:lineRule="auto"/>
              <w:rPr>
                <w:rFonts w:eastAsia="Times New Roman" w:cs="Times New Roman"/>
                <w:sz w:val="19"/>
                <w:szCs w:val="19"/>
                <w:lang w:val="en"/>
              </w:rPr>
            </w:pPr>
            <w:r w:rsidRPr="00215F0B">
              <w:rPr>
                <w:rFonts w:eastAsia="Times New Roman" w:cs="Times New Roman"/>
                <w:sz w:val="19"/>
                <w:szCs w:val="19"/>
                <w:lang w:val="en"/>
              </w:rPr>
              <w:t>27.11</w:t>
            </w:r>
          </w:p>
        </w:tc>
      </w:tr>
      <w:tr w:rsidR="00215F0B" w:rsidRPr="00215F0B" w:rsidTr="00215F0B">
        <w:trPr>
          <w:trHeight w:val="400"/>
        </w:trPr>
        <w:tc>
          <w:tcPr>
            <w:tcW w:w="1610" w:type="dxa"/>
            <w:shd w:val="clear" w:color="auto" w:fill="auto"/>
            <w:tcMar>
              <w:top w:w="100" w:type="dxa"/>
              <w:left w:w="100" w:type="dxa"/>
              <w:bottom w:w="100" w:type="dxa"/>
              <w:right w:w="100" w:type="dxa"/>
            </w:tcMar>
          </w:tcPr>
          <w:p w:rsidR="00215F0B" w:rsidRPr="00215F0B" w:rsidRDefault="00215F0B" w:rsidP="00215F0B">
            <w:pPr>
              <w:widowControl w:val="0"/>
              <w:pBdr>
                <w:top w:val="nil"/>
                <w:left w:val="nil"/>
                <w:bottom w:val="nil"/>
                <w:right w:val="nil"/>
                <w:between w:val="nil"/>
              </w:pBdr>
              <w:spacing w:line="240" w:lineRule="auto"/>
              <w:rPr>
                <w:rFonts w:eastAsia="Times New Roman" w:cs="Times New Roman"/>
                <w:sz w:val="19"/>
                <w:szCs w:val="19"/>
                <w:lang w:val="en"/>
              </w:rPr>
            </w:pPr>
            <w:r w:rsidRPr="00215F0B">
              <w:rPr>
                <w:rFonts w:eastAsia="Times New Roman" w:cs="Times New Roman"/>
                <w:sz w:val="19"/>
                <w:szCs w:val="19"/>
                <w:lang w:val="en"/>
              </w:rPr>
              <w:t>Southern Africa</w:t>
            </w:r>
          </w:p>
        </w:tc>
        <w:tc>
          <w:tcPr>
            <w:tcW w:w="1170" w:type="dxa"/>
            <w:shd w:val="clear" w:color="auto" w:fill="auto"/>
            <w:tcMar>
              <w:top w:w="100" w:type="dxa"/>
              <w:left w:w="100" w:type="dxa"/>
              <w:bottom w:w="100" w:type="dxa"/>
              <w:right w:w="100" w:type="dxa"/>
            </w:tcMar>
            <w:vAlign w:val="bottom"/>
          </w:tcPr>
          <w:p w:rsidR="00215F0B" w:rsidRPr="00215F0B" w:rsidRDefault="00215F0B" w:rsidP="00215F0B">
            <w:pPr>
              <w:widowControl w:val="0"/>
              <w:pBdr>
                <w:top w:val="nil"/>
                <w:left w:val="nil"/>
                <w:bottom w:val="nil"/>
                <w:right w:val="nil"/>
                <w:between w:val="nil"/>
              </w:pBdr>
              <w:spacing w:line="240" w:lineRule="auto"/>
              <w:rPr>
                <w:rFonts w:eastAsia="Times New Roman" w:cs="Times New Roman"/>
                <w:sz w:val="19"/>
                <w:szCs w:val="19"/>
                <w:lang w:val="en"/>
              </w:rPr>
            </w:pPr>
            <w:r w:rsidRPr="00215F0B">
              <w:rPr>
                <w:rFonts w:eastAsia="Times New Roman" w:cs="Times New Roman"/>
                <w:sz w:val="19"/>
                <w:szCs w:val="19"/>
                <w:lang w:val="en"/>
              </w:rPr>
              <w:t>19.42</w:t>
            </w:r>
          </w:p>
        </w:tc>
        <w:tc>
          <w:tcPr>
            <w:tcW w:w="1440" w:type="dxa"/>
            <w:vAlign w:val="bottom"/>
          </w:tcPr>
          <w:p w:rsidR="00215F0B" w:rsidRPr="00215F0B" w:rsidRDefault="00215F0B" w:rsidP="00215F0B">
            <w:pPr>
              <w:widowControl w:val="0"/>
              <w:pBdr>
                <w:top w:val="nil"/>
                <w:left w:val="nil"/>
                <w:bottom w:val="nil"/>
                <w:right w:val="nil"/>
                <w:between w:val="nil"/>
              </w:pBdr>
              <w:spacing w:line="240" w:lineRule="auto"/>
              <w:rPr>
                <w:rFonts w:eastAsia="Times New Roman" w:cs="Times New Roman"/>
                <w:sz w:val="19"/>
                <w:szCs w:val="19"/>
                <w:lang w:val="en"/>
              </w:rPr>
            </w:pPr>
            <w:r w:rsidRPr="00215F0B">
              <w:rPr>
                <w:rFonts w:eastAsia="Times New Roman" w:cs="Times New Roman"/>
                <w:sz w:val="19"/>
                <w:szCs w:val="19"/>
                <w:lang w:val="en"/>
              </w:rPr>
              <w:t>19.22</w:t>
            </w:r>
          </w:p>
        </w:tc>
        <w:tc>
          <w:tcPr>
            <w:tcW w:w="1080" w:type="dxa"/>
          </w:tcPr>
          <w:p w:rsidR="00215F0B" w:rsidRPr="00215F0B" w:rsidRDefault="00215F0B" w:rsidP="00215F0B">
            <w:pPr>
              <w:widowControl w:val="0"/>
              <w:pBdr>
                <w:top w:val="nil"/>
                <w:left w:val="nil"/>
                <w:bottom w:val="nil"/>
                <w:right w:val="nil"/>
                <w:between w:val="nil"/>
              </w:pBdr>
              <w:spacing w:line="240" w:lineRule="auto"/>
              <w:rPr>
                <w:rFonts w:eastAsia="Times New Roman" w:cs="Times New Roman"/>
                <w:sz w:val="19"/>
                <w:szCs w:val="19"/>
                <w:lang w:val="en"/>
              </w:rPr>
            </w:pPr>
            <w:r w:rsidRPr="00215F0B">
              <w:rPr>
                <w:rFonts w:eastAsia="Times New Roman" w:cs="Times New Roman"/>
                <w:sz w:val="19"/>
                <w:szCs w:val="19"/>
                <w:lang w:val="en"/>
              </w:rPr>
              <w:t>18.72</w:t>
            </w:r>
          </w:p>
        </w:tc>
      </w:tr>
      <w:tr w:rsidR="00215F0B" w:rsidRPr="00215F0B" w:rsidTr="00215F0B">
        <w:tc>
          <w:tcPr>
            <w:tcW w:w="1610" w:type="dxa"/>
            <w:shd w:val="clear" w:color="auto" w:fill="auto"/>
            <w:tcMar>
              <w:top w:w="100" w:type="dxa"/>
              <w:left w:w="100" w:type="dxa"/>
              <w:bottom w:w="100" w:type="dxa"/>
              <w:right w:w="100" w:type="dxa"/>
            </w:tcMar>
          </w:tcPr>
          <w:p w:rsidR="00215F0B" w:rsidRPr="00215F0B" w:rsidRDefault="00215F0B" w:rsidP="00215F0B">
            <w:pPr>
              <w:widowControl w:val="0"/>
              <w:pBdr>
                <w:top w:val="nil"/>
                <w:left w:val="nil"/>
                <w:bottom w:val="nil"/>
                <w:right w:val="nil"/>
                <w:between w:val="nil"/>
              </w:pBdr>
              <w:spacing w:line="240" w:lineRule="auto"/>
              <w:rPr>
                <w:rFonts w:eastAsia="Times New Roman" w:cs="Times New Roman"/>
                <w:sz w:val="19"/>
                <w:szCs w:val="19"/>
                <w:lang w:val="en"/>
              </w:rPr>
            </w:pPr>
            <w:r w:rsidRPr="00215F0B">
              <w:rPr>
                <w:rFonts w:eastAsia="Times New Roman" w:cs="Times New Roman"/>
                <w:sz w:val="19"/>
                <w:szCs w:val="19"/>
                <w:lang w:val="en"/>
              </w:rPr>
              <w:t>Western Africa</w:t>
            </w:r>
          </w:p>
        </w:tc>
        <w:tc>
          <w:tcPr>
            <w:tcW w:w="1170" w:type="dxa"/>
            <w:shd w:val="clear" w:color="auto" w:fill="auto"/>
            <w:tcMar>
              <w:top w:w="100" w:type="dxa"/>
              <w:left w:w="100" w:type="dxa"/>
              <w:bottom w:w="100" w:type="dxa"/>
              <w:right w:w="100" w:type="dxa"/>
            </w:tcMar>
          </w:tcPr>
          <w:p w:rsidR="00215F0B" w:rsidRPr="00215F0B" w:rsidRDefault="00215F0B" w:rsidP="00215F0B">
            <w:pPr>
              <w:widowControl w:val="0"/>
              <w:pBdr>
                <w:top w:val="nil"/>
                <w:left w:val="nil"/>
                <w:bottom w:val="nil"/>
                <w:right w:val="nil"/>
                <w:between w:val="nil"/>
              </w:pBdr>
              <w:spacing w:line="240" w:lineRule="auto"/>
              <w:rPr>
                <w:rFonts w:eastAsia="Times New Roman" w:cs="Times New Roman"/>
                <w:sz w:val="19"/>
                <w:szCs w:val="19"/>
                <w:lang w:val="en"/>
              </w:rPr>
            </w:pPr>
            <w:r w:rsidRPr="00215F0B">
              <w:rPr>
                <w:rFonts w:eastAsia="Times New Roman" w:cs="Times New Roman"/>
                <w:sz w:val="19"/>
                <w:szCs w:val="19"/>
                <w:lang w:val="en"/>
              </w:rPr>
              <w:t>15.53</w:t>
            </w:r>
          </w:p>
        </w:tc>
        <w:tc>
          <w:tcPr>
            <w:tcW w:w="1440" w:type="dxa"/>
          </w:tcPr>
          <w:p w:rsidR="00215F0B" w:rsidRPr="00215F0B" w:rsidRDefault="00215F0B" w:rsidP="00215F0B">
            <w:pPr>
              <w:widowControl w:val="0"/>
              <w:pBdr>
                <w:top w:val="nil"/>
                <w:left w:val="nil"/>
                <w:bottom w:val="nil"/>
                <w:right w:val="nil"/>
                <w:between w:val="nil"/>
              </w:pBdr>
              <w:spacing w:line="240" w:lineRule="auto"/>
              <w:rPr>
                <w:rFonts w:eastAsia="Times New Roman" w:cs="Times New Roman"/>
                <w:sz w:val="19"/>
                <w:szCs w:val="19"/>
                <w:lang w:val="en"/>
              </w:rPr>
            </w:pPr>
            <w:r w:rsidRPr="00215F0B">
              <w:rPr>
                <w:rFonts w:eastAsia="Times New Roman" w:cs="Times New Roman"/>
                <w:sz w:val="19"/>
                <w:szCs w:val="19"/>
                <w:lang w:val="en"/>
              </w:rPr>
              <w:t>15.86</w:t>
            </w:r>
          </w:p>
        </w:tc>
        <w:tc>
          <w:tcPr>
            <w:tcW w:w="1080" w:type="dxa"/>
          </w:tcPr>
          <w:p w:rsidR="00215F0B" w:rsidRPr="00215F0B" w:rsidRDefault="00215F0B" w:rsidP="00215F0B">
            <w:pPr>
              <w:widowControl w:val="0"/>
              <w:pBdr>
                <w:top w:val="nil"/>
                <w:left w:val="nil"/>
                <w:bottom w:val="nil"/>
                <w:right w:val="nil"/>
                <w:between w:val="nil"/>
              </w:pBdr>
              <w:spacing w:line="240" w:lineRule="auto"/>
              <w:rPr>
                <w:rFonts w:eastAsia="Times New Roman" w:cs="Times New Roman"/>
                <w:sz w:val="19"/>
                <w:szCs w:val="19"/>
                <w:lang w:val="en"/>
              </w:rPr>
            </w:pPr>
            <w:r w:rsidRPr="00215F0B">
              <w:rPr>
                <w:rFonts w:eastAsia="Times New Roman" w:cs="Times New Roman"/>
                <w:sz w:val="19"/>
                <w:szCs w:val="19"/>
                <w:lang w:val="en"/>
              </w:rPr>
              <w:t>16.17</w:t>
            </w:r>
          </w:p>
        </w:tc>
      </w:tr>
    </w:tbl>
    <w:p w:rsidR="00215F0B" w:rsidRPr="00215F0B" w:rsidRDefault="00215F0B" w:rsidP="00215F0B">
      <w:pPr>
        <w:pBdr>
          <w:bottom w:val="none" w:sz="0" w:space="1" w:color="000000"/>
        </w:pBdr>
        <w:spacing w:before="160" w:line="360" w:lineRule="auto"/>
        <w:ind w:right="160"/>
        <w:rPr>
          <w:rFonts w:eastAsia="Times New Roman" w:cs="Times New Roman"/>
          <w:b/>
          <w:sz w:val="19"/>
          <w:szCs w:val="19"/>
          <w:lang w:val="en"/>
        </w:rPr>
      </w:pPr>
      <w:r w:rsidRPr="00215F0B">
        <w:rPr>
          <w:rFonts w:eastAsia="Times New Roman" w:cs="Times New Roman"/>
          <w:sz w:val="19"/>
          <w:szCs w:val="19"/>
          <w:lang w:val="en"/>
        </w:rPr>
        <w:t xml:space="preserve">Source: World Bank Data Bank-Sustainable Development Goals (2015-18) </w:t>
      </w:r>
      <w:r w:rsidRPr="00215F0B">
        <w:rPr>
          <w:rFonts w:eastAsia="Times New Roman" w:cs="Times New Roman"/>
          <w:sz w:val="19"/>
          <w:szCs w:val="19"/>
          <w:lang w:val="en"/>
        </w:rPr>
        <w:fldChar w:fldCharType="begin" w:fldLock="1"/>
      </w:r>
      <w:r w:rsidRPr="00215F0B">
        <w:rPr>
          <w:rFonts w:eastAsia="Times New Roman" w:cs="Times New Roman"/>
          <w:sz w:val="19"/>
          <w:szCs w:val="19"/>
          <w:lang w:val="en"/>
        </w:rPr>
        <w:instrText>ADDIN CSL_CITATION {"citationItems":[{"id":"ITEM-1","itemData":{"URL":"https://datacatalog.worldbank.org/dataset/sustainable-development-goals","accessed":{"date-parts":[["2020","5","19"]]},"author":[{"dropping-particle":"","family":"World Bank","given":"","non-dropping-particle":"","parse-names":false,"suffix":""}],"id":"ITEM-1","issued":{"date-parts":[["0"]]},"title":"Sustainable Development Goals (SDG) | Data Catalog","type":"webpage"},"uris":["http://www.mendeley.com/documents/?uuid=5e43f6f2-0cd9-42ab-b19e-795b5eaa91cf"]}],"mendeley":{"formattedCitation":"(World Bank, no date)","plainTextFormattedCitation":"(World Bank, no date)","previouslyFormattedCitation":"(World Bank, no date)"},"properties":{"noteIndex":0},"schema":"https://github.com/citation-style-language/schema/raw/master/csl-citation.json"}</w:instrText>
      </w:r>
      <w:r w:rsidRPr="00215F0B">
        <w:rPr>
          <w:rFonts w:eastAsia="Times New Roman" w:cs="Times New Roman"/>
          <w:sz w:val="19"/>
          <w:szCs w:val="19"/>
          <w:lang w:val="en"/>
        </w:rPr>
        <w:fldChar w:fldCharType="separate"/>
      </w:r>
      <w:r w:rsidRPr="00215F0B">
        <w:rPr>
          <w:rFonts w:eastAsia="Times New Roman" w:cs="Times New Roman"/>
          <w:noProof/>
          <w:sz w:val="19"/>
          <w:szCs w:val="19"/>
          <w:lang w:val="en"/>
        </w:rPr>
        <w:t>(World Bank, no date)</w:t>
      </w:r>
      <w:r w:rsidRPr="00215F0B">
        <w:rPr>
          <w:rFonts w:eastAsia="Times New Roman" w:cs="Times New Roman"/>
          <w:sz w:val="19"/>
          <w:szCs w:val="19"/>
          <w:lang w:val="en"/>
        </w:rPr>
        <w:fldChar w:fldCharType="end"/>
      </w:r>
    </w:p>
    <w:p w:rsidR="001C72A7" w:rsidRPr="001C72A7" w:rsidRDefault="001C72A7" w:rsidP="001C72A7">
      <w:pPr>
        <w:spacing w:line="360" w:lineRule="auto"/>
        <w:rPr>
          <w:rFonts w:eastAsia="Times New Roman" w:cs="Times New Roman"/>
          <w:sz w:val="22"/>
          <w:szCs w:val="22"/>
          <w:lang w:val="en"/>
        </w:rPr>
      </w:pPr>
      <w:r w:rsidRPr="001C72A7">
        <w:rPr>
          <w:rFonts w:eastAsia="Times New Roman" w:cs="Times New Roman"/>
          <w:i/>
          <w:sz w:val="22"/>
          <w:szCs w:val="22"/>
          <w:lang w:val="en"/>
        </w:rPr>
        <w:t xml:space="preserve">Prevalence of Stunting. </w:t>
      </w:r>
      <w:r w:rsidRPr="001C72A7">
        <w:rPr>
          <w:rFonts w:eastAsia="Times New Roman" w:cs="Times New Roman"/>
          <w:sz w:val="22"/>
          <w:szCs w:val="22"/>
          <w:lang w:val="en"/>
        </w:rPr>
        <w:t xml:space="preserve">Compared to 2015, the prevalence of stunting (height for age) among children under the age of 5 decreased in both sub-Saharan Africa and the World in 2016 (see Table 5). Although the rate of child stunting for sub-Saharan Africa has dipped from 35.1% in 2015 to 34.1% in 2017, stunting is still higher than the average world rate of 22.2%. </w:t>
      </w:r>
    </w:p>
    <w:p w:rsidR="00215F0B" w:rsidRDefault="00215F0B" w:rsidP="00215F0B">
      <w:pPr>
        <w:widowControl w:val="0"/>
        <w:spacing w:line="240" w:lineRule="auto"/>
        <w:rPr>
          <w:rFonts w:eastAsia="Times New Roman" w:cs="Times New Roman"/>
          <w:b/>
          <w:sz w:val="19"/>
          <w:szCs w:val="19"/>
          <w:lang w:val="en"/>
        </w:rPr>
      </w:pPr>
    </w:p>
    <w:p w:rsidR="00215F0B" w:rsidRDefault="00215F0B" w:rsidP="00215F0B">
      <w:pPr>
        <w:widowControl w:val="0"/>
        <w:spacing w:line="240" w:lineRule="auto"/>
        <w:rPr>
          <w:rFonts w:eastAsia="Times New Roman" w:cs="Times New Roman"/>
          <w:b/>
          <w:sz w:val="19"/>
          <w:szCs w:val="19"/>
          <w:lang w:val="en"/>
        </w:rPr>
      </w:pPr>
    </w:p>
    <w:p w:rsidR="00215F0B" w:rsidRDefault="00215F0B" w:rsidP="00215F0B">
      <w:pPr>
        <w:widowControl w:val="0"/>
        <w:spacing w:line="240" w:lineRule="auto"/>
        <w:rPr>
          <w:rFonts w:eastAsia="Times New Roman" w:cs="Times New Roman"/>
          <w:b/>
          <w:sz w:val="19"/>
          <w:szCs w:val="19"/>
          <w:lang w:val="en"/>
        </w:rPr>
      </w:pPr>
    </w:p>
    <w:p w:rsidR="00215F0B" w:rsidRDefault="00215F0B" w:rsidP="00215F0B">
      <w:pPr>
        <w:widowControl w:val="0"/>
        <w:spacing w:line="240" w:lineRule="auto"/>
        <w:rPr>
          <w:rFonts w:eastAsia="Times New Roman" w:cs="Times New Roman"/>
          <w:b/>
          <w:sz w:val="19"/>
          <w:szCs w:val="19"/>
          <w:lang w:val="en"/>
        </w:rPr>
      </w:pPr>
    </w:p>
    <w:p w:rsidR="00215F0B" w:rsidRDefault="00215F0B" w:rsidP="00215F0B">
      <w:pPr>
        <w:widowControl w:val="0"/>
        <w:spacing w:line="240" w:lineRule="auto"/>
        <w:rPr>
          <w:rFonts w:eastAsia="Times New Roman" w:cs="Times New Roman"/>
          <w:b/>
          <w:sz w:val="19"/>
          <w:szCs w:val="19"/>
          <w:lang w:val="en"/>
        </w:rPr>
      </w:pPr>
    </w:p>
    <w:p w:rsidR="00215F0B" w:rsidRPr="00215F0B" w:rsidRDefault="00215F0B" w:rsidP="00215F0B">
      <w:pPr>
        <w:widowControl w:val="0"/>
        <w:spacing w:line="240" w:lineRule="auto"/>
        <w:rPr>
          <w:rFonts w:eastAsia="Times New Roman" w:cs="Times New Roman"/>
          <w:b/>
          <w:sz w:val="19"/>
          <w:szCs w:val="19"/>
          <w:lang w:val="en"/>
        </w:rPr>
      </w:pPr>
      <w:r w:rsidRPr="00215F0B">
        <w:rPr>
          <w:rFonts w:eastAsia="Times New Roman" w:cs="Times New Roman"/>
          <w:b/>
          <w:sz w:val="19"/>
          <w:szCs w:val="19"/>
          <w:lang w:val="en"/>
        </w:rPr>
        <w:t>Table 4.  Prevalence of Stunting, height for age (% of children under 5)</w:t>
      </w:r>
    </w:p>
    <w:p w:rsidR="00215F0B" w:rsidRPr="00215F0B" w:rsidRDefault="00215F0B" w:rsidP="00215F0B">
      <w:pPr>
        <w:widowControl w:val="0"/>
        <w:spacing w:line="240" w:lineRule="auto"/>
        <w:rPr>
          <w:rFonts w:eastAsia="Times New Roman" w:cs="Times New Roman"/>
          <w:b/>
          <w:sz w:val="19"/>
          <w:szCs w:val="19"/>
          <w:lang w:val="en"/>
        </w:rPr>
      </w:pPr>
    </w:p>
    <w:tbl>
      <w:tblPr>
        <w:tblW w:w="5210" w:type="dxa"/>
        <w:jc w:val="center"/>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Look w:val="0600" w:firstRow="0" w:lastRow="0" w:firstColumn="0" w:lastColumn="0" w:noHBand="1" w:noVBand="1"/>
      </w:tblPr>
      <w:tblGrid>
        <w:gridCol w:w="1520"/>
        <w:gridCol w:w="900"/>
        <w:gridCol w:w="990"/>
        <w:gridCol w:w="810"/>
        <w:gridCol w:w="990"/>
      </w:tblGrid>
      <w:tr w:rsidR="00215F0B" w:rsidRPr="00215F0B" w:rsidTr="00215F0B">
        <w:trPr>
          <w:jc w:val="center"/>
        </w:trPr>
        <w:tc>
          <w:tcPr>
            <w:tcW w:w="1520" w:type="dxa"/>
            <w:shd w:val="clear" w:color="auto" w:fill="auto"/>
            <w:tcMar>
              <w:top w:w="100" w:type="dxa"/>
              <w:left w:w="100" w:type="dxa"/>
              <w:bottom w:w="100" w:type="dxa"/>
              <w:right w:w="100" w:type="dxa"/>
            </w:tcMar>
          </w:tcPr>
          <w:p w:rsidR="00215F0B" w:rsidRPr="00215F0B" w:rsidRDefault="00215F0B" w:rsidP="00215F0B">
            <w:pPr>
              <w:widowControl w:val="0"/>
              <w:spacing w:line="240" w:lineRule="auto"/>
              <w:rPr>
                <w:rFonts w:eastAsia="Times New Roman" w:cs="Times New Roman"/>
                <w:bCs/>
                <w:sz w:val="19"/>
                <w:szCs w:val="19"/>
                <w:lang w:val="en"/>
              </w:rPr>
            </w:pPr>
            <w:r w:rsidRPr="00215F0B">
              <w:rPr>
                <w:rFonts w:eastAsia="Times New Roman" w:cs="Times New Roman"/>
                <w:bCs/>
                <w:sz w:val="19"/>
                <w:szCs w:val="19"/>
                <w:lang w:val="en"/>
              </w:rPr>
              <w:t>Level</w:t>
            </w:r>
          </w:p>
        </w:tc>
        <w:tc>
          <w:tcPr>
            <w:tcW w:w="900" w:type="dxa"/>
            <w:shd w:val="clear" w:color="auto" w:fill="auto"/>
            <w:tcMar>
              <w:top w:w="100" w:type="dxa"/>
              <w:left w:w="100" w:type="dxa"/>
              <w:bottom w:w="100" w:type="dxa"/>
              <w:right w:w="100" w:type="dxa"/>
            </w:tcMar>
          </w:tcPr>
          <w:p w:rsidR="00215F0B" w:rsidRPr="00215F0B" w:rsidRDefault="00215F0B" w:rsidP="00215F0B">
            <w:pPr>
              <w:widowControl w:val="0"/>
              <w:spacing w:line="240" w:lineRule="auto"/>
              <w:rPr>
                <w:rFonts w:eastAsia="Times New Roman" w:cs="Times New Roman"/>
                <w:sz w:val="19"/>
                <w:szCs w:val="19"/>
                <w:lang w:val="en"/>
              </w:rPr>
            </w:pPr>
            <w:r w:rsidRPr="00215F0B">
              <w:rPr>
                <w:rFonts w:eastAsia="Times New Roman" w:cs="Times New Roman"/>
                <w:sz w:val="19"/>
                <w:szCs w:val="19"/>
                <w:lang w:val="en"/>
              </w:rPr>
              <w:t>2015</w:t>
            </w:r>
          </w:p>
        </w:tc>
        <w:tc>
          <w:tcPr>
            <w:tcW w:w="990" w:type="dxa"/>
            <w:shd w:val="clear" w:color="auto" w:fill="auto"/>
            <w:tcMar>
              <w:top w:w="100" w:type="dxa"/>
              <w:left w:w="100" w:type="dxa"/>
              <w:bottom w:w="100" w:type="dxa"/>
              <w:right w:w="100" w:type="dxa"/>
            </w:tcMar>
          </w:tcPr>
          <w:p w:rsidR="00215F0B" w:rsidRPr="00215F0B" w:rsidRDefault="00215F0B" w:rsidP="00215F0B">
            <w:pPr>
              <w:widowControl w:val="0"/>
              <w:spacing w:line="240" w:lineRule="auto"/>
              <w:rPr>
                <w:rFonts w:eastAsia="Times New Roman" w:cs="Times New Roman"/>
                <w:sz w:val="19"/>
                <w:szCs w:val="19"/>
                <w:lang w:val="en"/>
              </w:rPr>
            </w:pPr>
            <w:r w:rsidRPr="00215F0B">
              <w:rPr>
                <w:rFonts w:eastAsia="Times New Roman" w:cs="Times New Roman"/>
                <w:sz w:val="19"/>
                <w:szCs w:val="19"/>
                <w:lang w:val="en"/>
              </w:rPr>
              <w:t>2016</w:t>
            </w:r>
          </w:p>
        </w:tc>
        <w:tc>
          <w:tcPr>
            <w:tcW w:w="810" w:type="dxa"/>
          </w:tcPr>
          <w:p w:rsidR="00215F0B" w:rsidRPr="00215F0B" w:rsidRDefault="00215F0B" w:rsidP="00215F0B">
            <w:pPr>
              <w:widowControl w:val="0"/>
              <w:spacing w:line="240" w:lineRule="auto"/>
              <w:rPr>
                <w:rFonts w:eastAsia="Times New Roman" w:cs="Times New Roman"/>
                <w:sz w:val="19"/>
                <w:szCs w:val="19"/>
                <w:lang w:val="en"/>
              </w:rPr>
            </w:pPr>
            <w:r w:rsidRPr="00215F0B">
              <w:rPr>
                <w:rFonts w:eastAsia="Times New Roman" w:cs="Times New Roman"/>
                <w:sz w:val="19"/>
                <w:szCs w:val="19"/>
                <w:lang w:val="en"/>
              </w:rPr>
              <w:t>2017</w:t>
            </w:r>
          </w:p>
        </w:tc>
        <w:tc>
          <w:tcPr>
            <w:tcW w:w="990" w:type="dxa"/>
          </w:tcPr>
          <w:p w:rsidR="00215F0B" w:rsidRPr="00215F0B" w:rsidRDefault="00215F0B" w:rsidP="00215F0B">
            <w:pPr>
              <w:widowControl w:val="0"/>
              <w:spacing w:line="240" w:lineRule="auto"/>
              <w:rPr>
                <w:rFonts w:eastAsia="Times New Roman" w:cs="Times New Roman"/>
                <w:sz w:val="19"/>
                <w:szCs w:val="19"/>
                <w:lang w:val="en"/>
              </w:rPr>
            </w:pPr>
            <w:r w:rsidRPr="00215F0B">
              <w:rPr>
                <w:rFonts w:eastAsia="Times New Roman" w:cs="Times New Roman"/>
                <w:sz w:val="19"/>
                <w:szCs w:val="19"/>
                <w:lang w:val="en"/>
              </w:rPr>
              <w:t>2018</w:t>
            </w:r>
          </w:p>
        </w:tc>
      </w:tr>
      <w:tr w:rsidR="00215F0B" w:rsidRPr="00215F0B" w:rsidTr="00215F0B">
        <w:trPr>
          <w:jc w:val="center"/>
        </w:trPr>
        <w:tc>
          <w:tcPr>
            <w:tcW w:w="1520" w:type="dxa"/>
            <w:shd w:val="clear" w:color="auto" w:fill="auto"/>
            <w:tcMar>
              <w:top w:w="100" w:type="dxa"/>
              <w:left w:w="100" w:type="dxa"/>
              <w:bottom w:w="100" w:type="dxa"/>
              <w:right w:w="100" w:type="dxa"/>
            </w:tcMar>
          </w:tcPr>
          <w:p w:rsidR="00215F0B" w:rsidRPr="00215F0B" w:rsidRDefault="00215F0B" w:rsidP="00215F0B">
            <w:pPr>
              <w:widowControl w:val="0"/>
              <w:spacing w:line="240" w:lineRule="auto"/>
              <w:rPr>
                <w:rFonts w:eastAsia="Times New Roman" w:cs="Times New Roman"/>
                <w:sz w:val="19"/>
                <w:szCs w:val="19"/>
                <w:lang w:val="en"/>
              </w:rPr>
            </w:pPr>
            <w:r w:rsidRPr="00215F0B">
              <w:rPr>
                <w:rFonts w:eastAsia="Times New Roman" w:cs="Times New Roman"/>
                <w:sz w:val="19"/>
                <w:szCs w:val="19"/>
                <w:lang w:val="en"/>
              </w:rPr>
              <w:t>World Level</w:t>
            </w:r>
          </w:p>
        </w:tc>
        <w:tc>
          <w:tcPr>
            <w:tcW w:w="900" w:type="dxa"/>
            <w:shd w:val="clear" w:color="auto" w:fill="auto"/>
            <w:tcMar>
              <w:top w:w="100" w:type="dxa"/>
              <w:left w:w="100" w:type="dxa"/>
              <w:bottom w:w="100" w:type="dxa"/>
              <w:right w:w="100" w:type="dxa"/>
            </w:tcMar>
          </w:tcPr>
          <w:p w:rsidR="00215F0B" w:rsidRPr="00215F0B" w:rsidRDefault="00215F0B" w:rsidP="00215F0B">
            <w:pPr>
              <w:widowControl w:val="0"/>
              <w:spacing w:line="240" w:lineRule="auto"/>
              <w:rPr>
                <w:rFonts w:eastAsia="Times New Roman" w:cs="Times New Roman"/>
                <w:sz w:val="19"/>
                <w:szCs w:val="19"/>
                <w:lang w:val="en"/>
              </w:rPr>
            </w:pPr>
            <w:r w:rsidRPr="00215F0B">
              <w:rPr>
                <w:rFonts w:eastAsia="Times New Roman" w:cs="Times New Roman"/>
                <w:sz w:val="19"/>
                <w:szCs w:val="19"/>
                <w:lang w:val="en"/>
              </w:rPr>
              <w:t>23.30</w:t>
            </w:r>
          </w:p>
        </w:tc>
        <w:tc>
          <w:tcPr>
            <w:tcW w:w="990" w:type="dxa"/>
            <w:shd w:val="clear" w:color="auto" w:fill="auto"/>
            <w:tcMar>
              <w:top w:w="100" w:type="dxa"/>
              <w:left w:w="100" w:type="dxa"/>
              <w:bottom w:w="100" w:type="dxa"/>
              <w:right w:w="100" w:type="dxa"/>
            </w:tcMar>
          </w:tcPr>
          <w:p w:rsidR="00215F0B" w:rsidRPr="00215F0B" w:rsidRDefault="00215F0B" w:rsidP="00215F0B">
            <w:pPr>
              <w:widowControl w:val="0"/>
              <w:spacing w:line="240" w:lineRule="auto"/>
              <w:rPr>
                <w:rFonts w:eastAsia="Times New Roman" w:cs="Times New Roman"/>
                <w:sz w:val="19"/>
                <w:szCs w:val="19"/>
                <w:lang w:val="en"/>
              </w:rPr>
            </w:pPr>
            <w:r w:rsidRPr="00215F0B">
              <w:rPr>
                <w:rFonts w:eastAsia="Times New Roman" w:cs="Times New Roman"/>
                <w:sz w:val="19"/>
                <w:szCs w:val="19"/>
                <w:lang w:val="en"/>
              </w:rPr>
              <w:t>22.80</w:t>
            </w:r>
          </w:p>
        </w:tc>
        <w:tc>
          <w:tcPr>
            <w:tcW w:w="810" w:type="dxa"/>
          </w:tcPr>
          <w:p w:rsidR="00215F0B" w:rsidRPr="00215F0B" w:rsidRDefault="00215F0B" w:rsidP="00215F0B">
            <w:pPr>
              <w:widowControl w:val="0"/>
              <w:spacing w:line="240" w:lineRule="auto"/>
              <w:rPr>
                <w:rFonts w:eastAsia="Times New Roman" w:cs="Times New Roman"/>
                <w:sz w:val="19"/>
                <w:szCs w:val="19"/>
                <w:lang w:val="en"/>
              </w:rPr>
            </w:pPr>
            <w:r w:rsidRPr="00215F0B">
              <w:rPr>
                <w:rFonts w:eastAsia="Times New Roman" w:cs="Times New Roman"/>
                <w:sz w:val="19"/>
                <w:szCs w:val="19"/>
                <w:lang w:val="en"/>
              </w:rPr>
              <w:t>22.40</w:t>
            </w:r>
          </w:p>
        </w:tc>
        <w:tc>
          <w:tcPr>
            <w:tcW w:w="990" w:type="dxa"/>
          </w:tcPr>
          <w:p w:rsidR="00215F0B" w:rsidRPr="00215F0B" w:rsidRDefault="00215F0B" w:rsidP="00215F0B">
            <w:pPr>
              <w:widowControl w:val="0"/>
              <w:spacing w:line="240" w:lineRule="auto"/>
              <w:rPr>
                <w:rFonts w:eastAsia="Times New Roman" w:cs="Times New Roman"/>
                <w:sz w:val="19"/>
                <w:szCs w:val="19"/>
                <w:lang w:val="en"/>
              </w:rPr>
            </w:pPr>
            <w:r w:rsidRPr="00215F0B">
              <w:rPr>
                <w:rFonts w:eastAsia="Times New Roman" w:cs="Times New Roman"/>
                <w:sz w:val="19"/>
                <w:szCs w:val="19"/>
                <w:lang w:val="en"/>
              </w:rPr>
              <w:t>21.9</w:t>
            </w:r>
          </w:p>
        </w:tc>
      </w:tr>
      <w:tr w:rsidR="00215F0B" w:rsidRPr="00215F0B" w:rsidTr="00215F0B">
        <w:trPr>
          <w:jc w:val="center"/>
        </w:trPr>
        <w:tc>
          <w:tcPr>
            <w:tcW w:w="1520" w:type="dxa"/>
            <w:shd w:val="clear" w:color="auto" w:fill="auto"/>
            <w:tcMar>
              <w:top w:w="100" w:type="dxa"/>
              <w:left w:w="100" w:type="dxa"/>
              <w:bottom w:w="100" w:type="dxa"/>
              <w:right w:w="100" w:type="dxa"/>
            </w:tcMar>
          </w:tcPr>
          <w:p w:rsidR="00215F0B" w:rsidRPr="00215F0B" w:rsidRDefault="00215F0B" w:rsidP="00215F0B">
            <w:pPr>
              <w:widowControl w:val="0"/>
              <w:spacing w:line="240" w:lineRule="auto"/>
              <w:rPr>
                <w:rFonts w:eastAsia="Times New Roman" w:cs="Times New Roman"/>
                <w:sz w:val="19"/>
                <w:szCs w:val="19"/>
                <w:lang w:val="en"/>
              </w:rPr>
            </w:pPr>
            <w:r w:rsidRPr="00215F0B">
              <w:rPr>
                <w:rFonts w:eastAsia="Times New Roman" w:cs="Times New Roman"/>
                <w:sz w:val="19"/>
                <w:szCs w:val="19"/>
                <w:lang w:val="en"/>
              </w:rPr>
              <w:t>Regional (SSA)</w:t>
            </w:r>
          </w:p>
        </w:tc>
        <w:tc>
          <w:tcPr>
            <w:tcW w:w="900" w:type="dxa"/>
            <w:shd w:val="clear" w:color="auto" w:fill="auto"/>
            <w:tcMar>
              <w:top w:w="100" w:type="dxa"/>
              <w:left w:w="100" w:type="dxa"/>
              <w:bottom w:w="100" w:type="dxa"/>
              <w:right w:w="100" w:type="dxa"/>
            </w:tcMar>
          </w:tcPr>
          <w:p w:rsidR="00215F0B" w:rsidRPr="00215F0B" w:rsidRDefault="00215F0B" w:rsidP="00215F0B">
            <w:pPr>
              <w:widowControl w:val="0"/>
              <w:spacing w:line="240" w:lineRule="auto"/>
              <w:rPr>
                <w:rFonts w:eastAsia="Times New Roman" w:cs="Times New Roman"/>
                <w:sz w:val="19"/>
                <w:szCs w:val="19"/>
                <w:lang w:val="en"/>
              </w:rPr>
            </w:pPr>
            <w:r w:rsidRPr="00215F0B">
              <w:rPr>
                <w:rFonts w:eastAsia="Times New Roman" w:cs="Times New Roman"/>
                <w:sz w:val="19"/>
                <w:szCs w:val="19"/>
                <w:lang w:val="en"/>
              </w:rPr>
              <w:t>33.5</w:t>
            </w:r>
          </w:p>
        </w:tc>
        <w:tc>
          <w:tcPr>
            <w:tcW w:w="990" w:type="dxa"/>
            <w:shd w:val="clear" w:color="auto" w:fill="auto"/>
            <w:tcMar>
              <w:top w:w="100" w:type="dxa"/>
              <w:left w:w="100" w:type="dxa"/>
              <w:bottom w:w="100" w:type="dxa"/>
              <w:right w:w="100" w:type="dxa"/>
            </w:tcMar>
          </w:tcPr>
          <w:p w:rsidR="00215F0B" w:rsidRPr="00215F0B" w:rsidRDefault="00215F0B" w:rsidP="00215F0B">
            <w:pPr>
              <w:widowControl w:val="0"/>
              <w:spacing w:line="240" w:lineRule="auto"/>
              <w:rPr>
                <w:rFonts w:eastAsia="Times New Roman" w:cs="Times New Roman"/>
                <w:sz w:val="19"/>
                <w:szCs w:val="19"/>
                <w:lang w:val="en"/>
              </w:rPr>
            </w:pPr>
            <w:r w:rsidRPr="00215F0B">
              <w:rPr>
                <w:rFonts w:eastAsia="Times New Roman" w:cs="Times New Roman"/>
                <w:sz w:val="19"/>
                <w:szCs w:val="19"/>
                <w:lang w:val="en"/>
              </w:rPr>
              <w:t>33.30</w:t>
            </w:r>
          </w:p>
        </w:tc>
        <w:tc>
          <w:tcPr>
            <w:tcW w:w="810" w:type="dxa"/>
          </w:tcPr>
          <w:p w:rsidR="00215F0B" w:rsidRPr="00215F0B" w:rsidRDefault="00215F0B" w:rsidP="00215F0B">
            <w:pPr>
              <w:widowControl w:val="0"/>
              <w:spacing w:line="240" w:lineRule="auto"/>
              <w:rPr>
                <w:rFonts w:eastAsia="Times New Roman" w:cs="Times New Roman"/>
                <w:sz w:val="19"/>
                <w:szCs w:val="19"/>
                <w:lang w:val="en"/>
              </w:rPr>
            </w:pPr>
            <w:r w:rsidRPr="00215F0B">
              <w:rPr>
                <w:rFonts w:eastAsia="Times New Roman" w:cs="Times New Roman"/>
                <w:sz w:val="19"/>
                <w:szCs w:val="19"/>
                <w:lang w:val="en"/>
              </w:rPr>
              <w:t>32.6</w:t>
            </w:r>
          </w:p>
        </w:tc>
        <w:tc>
          <w:tcPr>
            <w:tcW w:w="990" w:type="dxa"/>
          </w:tcPr>
          <w:p w:rsidR="00215F0B" w:rsidRPr="00215F0B" w:rsidRDefault="00215F0B" w:rsidP="00215F0B">
            <w:pPr>
              <w:widowControl w:val="0"/>
              <w:spacing w:line="240" w:lineRule="auto"/>
              <w:rPr>
                <w:rFonts w:eastAsia="Times New Roman" w:cs="Times New Roman"/>
                <w:sz w:val="19"/>
                <w:szCs w:val="19"/>
                <w:lang w:val="en"/>
              </w:rPr>
            </w:pPr>
            <w:r w:rsidRPr="00215F0B">
              <w:rPr>
                <w:rFonts w:eastAsia="Times New Roman" w:cs="Times New Roman"/>
                <w:sz w:val="19"/>
                <w:szCs w:val="19"/>
                <w:lang w:val="en"/>
              </w:rPr>
              <w:t>32.1</w:t>
            </w:r>
          </w:p>
        </w:tc>
      </w:tr>
      <w:tr w:rsidR="00215F0B" w:rsidRPr="00215F0B" w:rsidTr="00215F0B">
        <w:trPr>
          <w:jc w:val="center"/>
        </w:trPr>
        <w:tc>
          <w:tcPr>
            <w:tcW w:w="1520" w:type="dxa"/>
            <w:shd w:val="clear" w:color="auto" w:fill="auto"/>
            <w:tcMar>
              <w:top w:w="100" w:type="dxa"/>
              <w:left w:w="100" w:type="dxa"/>
              <w:bottom w:w="100" w:type="dxa"/>
              <w:right w:w="100" w:type="dxa"/>
            </w:tcMar>
          </w:tcPr>
          <w:p w:rsidR="00215F0B" w:rsidRPr="00215F0B" w:rsidRDefault="00215F0B" w:rsidP="00215F0B">
            <w:pPr>
              <w:widowControl w:val="0"/>
              <w:spacing w:line="240" w:lineRule="auto"/>
              <w:rPr>
                <w:rFonts w:eastAsia="Times New Roman" w:cs="Times New Roman"/>
                <w:sz w:val="19"/>
                <w:szCs w:val="19"/>
                <w:lang w:val="en"/>
              </w:rPr>
            </w:pPr>
            <w:r w:rsidRPr="00215F0B">
              <w:rPr>
                <w:rFonts w:eastAsia="Times New Roman" w:cs="Times New Roman"/>
                <w:sz w:val="19"/>
                <w:szCs w:val="19"/>
                <w:lang w:val="en"/>
              </w:rPr>
              <w:t>Eastern Africa</w:t>
            </w:r>
          </w:p>
        </w:tc>
        <w:tc>
          <w:tcPr>
            <w:tcW w:w="900" w:type="dxa"/>
            <w:shd w:val="clear" w:color="auto" w:fill="auto"/>
            <w:tcMar>
              <w:top w:w="100" w:type="dxa"/>
              <w:left w:w="100" w:type="dxa"/>
              <w:bottom w:w="100" w:type="dxa"/>
              <w:right w:w="100" w:type="dxa"/>
            </w:tcMar>
          </w:tcPr>
          <w:p w:rsidR="00215F0B" w:rsidRPr="00215F0B" w:rsidRDefault="00215F0B" w:rsidP="00215F0B">
            <w:pPr>
              <w:widowControl w:val="0"/>
              <w:spacing w:line="240" w:lineRule="auto"/>
              <w:rPr>
                <w:rFonts w:eastAsia="Times New Roman" w:cs="Times New Roman"/>
                <w:sz w:val="19"/>
                <w:szCs w:val="19"/>
                <w:lang w:val="en"/>
              </w:rPr>
            </w:pPr>
            <w:r w:rsidRPr="00215F0B">
              <w:rPr>
                <w:rFonts w:eastAsia="Times New Roman" w:cs="Times New Roman"/>
                <w:sz w:val="19"/>
                <w:szCs w:val="19"/>
                <w:lang w:val="en"/>
              </w:rPr>
              <w:t>36.9</w:t>
            </w:r>
          </w:p>
        </w:tc>
        <w:tc>
          <w:tcPr>
            <w:tcW w:w="990" w:type="dxa"/>
            <w:shd w:val="clear" w:color="auto" w:fill="auto"/>
            <w:tcMar>
              <w:top w:w="100" w:type="dxa"/>
              <w:left w:w="100" w:type="dxa"/>
              <w:bottom w:w="100" w:type="dxa"/>
              <w:right w:w="100" w:type="dxa"/>
            </w:tcMar>
          </w:tcPr>
          <w:p w:rsidR="00215F0B" w:rsidRPr="00215F0B" w:rsidRDefault="00215F0B" w:rsidP="00215F0B">
            <w:pPr>
              <w:widowControl w:val="0"/>
              <w:spacing w:line="240" w:lineRule="auto"/>
              <w:rPr>
                <w:rFonts w:eastAsia="Times New Roman" w:cs="Times New Roman"/>
                <w:sz w:val="19"/>
                <w:szCs w:val="19"/>
                <w:lang w:val="en"/>
              </w:rPr>
            </w:pPr>
            <w:r w:rsidRPr="00215F0B">
              <w:rPr>
                <w:rFonts w:eastAsia="Times New Roman" w:cs="Times New Roman"/>
                <w:sz w:val="19"/>
                <w:szCs w:val="19"/>
                <w:lang w:val="en"/>
              </w:rPr>
              <w:t>36.4</w:t>
            </w:r>
          </w:p>
        </w:tc>
        <w:tc>
          <w:tcPr>
            <w:tcW w:w="810" w:type="dxa"/>
          </w:tcPr>
          <w:p w:rsidR="00215F0B" w:rsidRPr="00215F0B" w:rsidRDefault="00215F0B" w:rsidP="00215F0B">
            <w:pPr>
              <w:widowControl w:val="0"/>
              <w:spacing w:line="240" w:lineRule="auto"/>
              <w:rPr>
                <w:rFonts w:eastAsia="Times New Roman" w:cs="Times New Roman"/>
                <w:sz w:val="19"/>
                <w:szCs w:val="19"/>
                <w:lang w:val="en"/>
              </w:rPr>
            </w:pPr>
            <w:r w:rsidRPr="00215F0B">
              <w:rPr>
                <w:rFonts w:eastAsia="Times New Roman" w:cs="Times New Roman"/>
                <w:sz w:val="19"/>
                <w:szCs w:val="19"/>
                <w:lang w:val="en"/>
              </w:rPr>
              <w:t>35.8</w:t>
            </w:r>
          </w:p>
        </w:tc>
        <w:tc>
          <w:tcPr>
            <w:tcW w:w="990" w:type="dxa"/>
          </w:tcPr>
          <w:p w:rsidR="00215F0B" w:rsidRPr="00215F0B" w:rsidRDefault="00215F0B" w:rsidP="00215F0B">
            <w:pPr>
              <w:widowControl w:val="0"/>
              <w:spacing w:line="240" w:lineRule="auto"/>
              <w:rPr>
                <w:rFonts w:eastAsia="Times New Roman" w:cs="Times New Roman"/>
                <w:sz w:val="19"/>
                <w:szCs w:val="19"/>
                <w:lang w:val="en"/>
              </w:rPr>
            </w:pPr>
            <w:r w:rsidRPr="00215F0B">
              <w:rPr>
                <w:rFonts w:eastAsia="Times New Roman" w:cs="Times New Roman"/>
                <w:sz w:val="19"/>
                <w:szCs w:val="19"/>
                <w:lang w:val="en"/>
              </w:rPr>
              <w:t>35.2</w:t>
            </w:r>
          </w:p>
        </w:tc>
      </w:tr>
      <w:tr w:rsidR="00215F0B" w:rsidRPr="00215F0B" w:rsidTr="00215F0B">
        <w:trPr>
          <w:jc w:val="center"/>
        </w:trPr>
        <w:tc>
          <w:tcPr>
            <w:tcW w:w="1520" w:type="dxa"/>
            <w:shd w:val="clear" w:color="auto" w:fill="auto"/>
            <w:tcMar>
              <w:top w:w="100" w:type="dxa"/>
              <w:left w:w="100" w:type="dxa"/>
              <w:bottom w:w="100" w:type="dxa"/>
              <w:right w:w="100" w:type="dxa"/>
            </w:tcMar>
          </w:tcPr>
          <w:p w:rsidR="00215F0B" w:rsidRPr="00215F0B" w:rsidRDefault="00215F0B" w:rsidP="00215F0B">
            <w:pPr>
              <w:widowControl w:val="0"/>
              <w:spacing w:line="240" w:lineRule="auto"/>
              <w:rPr>
                <w:rFonts w:eastAsia="Times New Roman" w:cs="Times New Roman"/>
                <w:sz w:val="19"/>
                <w:szCs w:val="19"/>
                <w:lang w:val="en"/>
              </w:rPr>
            </w:pPr>
            <w:r w:rsidRPr="00215F0B">
              <w:rPr>
                <w:rFonts w:eastAsia="Times New Roman" w:cs="Times New Roman"/>
                <w:sz w:val="19"/>
                <w:szCs w:val="19"/>
                <w:lang w:val="en"/>
              </w:rPr>
              <w:t>Middle  Africa</w:t>
            </w:r>
          </w:p>
        </w:tc>
        <w:tc>
          <w:tcPr>
            <w:tcW w:w="900" w:type="dxa"/>
            <w:shd w:val="clear" w:color="auto" w:fill="auto"/>
            <w:tcMar>
              <w:top w:w="100" w:type="dxa"/>
              <w:left w:w="100" w:type="dxa"/>
              <w:bottom w:w="100" w:type="dxa"/>
              <w:right w:w="100" w:type="dxa"/>
            </w:tcMar>
          </w:tcPr>
          <w:p w:rsidR="00215F0B" w:rsidRPr="00215F0B" w:rsidRDefault="00215F0B" w:rsidP="00215F0B">
            <w:pPr>
              <w:widowControl w:val="0"/>
              <w:spacing w:line="240" w:lineRule="auto"/>
              <w:rPr>
                <w:rFonts w:eastAsia="Times New Roman" w:cs="Times New Roman"/>
                <w:sz w:val="19"/>
                <w:szCs w:val="19"/>
                <w:lang w:val="en"/>
              </w:rPr>
            </w:pPr>
            <w:r w:rsidRPr="00215F0B">
              <w:rPr>
                <w:rFonts w:eastAsia="Times New Roman" w:cs="Times New Roman"/>
                <w:sz w:val="19"/>
                <w:szCs w:val="19"/>
                <w:lang w:val="en"/>
              </w:rPr>
              <w:t>33.3</w:t>
            </w:r>
          </w:p>
        </w:tc>
        <w:tc>
          <w:tcPr>
            <w:tcW w:w="990" w:type="dxa"/>
            <w:shd w:val="clear" w:color="auto" w:fill="auto"/>
            <w:tcMar>
              <w:top w:w="100" w:type="dxa"/>
              <w:left w:w="100" w:type="dxa"/>
              <w:bottom w:w="100" w:type="dxa"/>
              <w:right w:w="100" w:type="dxa"/>
            </w:tcMar>
          </w:tcPr>
          <w:p w:rsidR="00215F0B" w:rsidRPr="00215F0B" w:rsidRDefault="00215F0B" w:rsidP="00215F0B">
            <w:pPr>
              <w:widowControl w:val="0"/>
              <w:spacing w:line="240" w:lineRule="auto"/>
              <w:rPr>
                <w:rFonts w:eastAsia="Times New Roman" w:cs="Times New Roman"/>
                <w:sz w:val="19"/>
                <w:szCs w:val="19"/>
                <w:lang w:val="en"/>
              </w:rPr>
            </w:pPr>
            <w:r w:rsidRPr="00215F0B">
              <w:rPr>
                <w:rFonts w:eastAsia="Times New Roman" w:cs="Times New Roman"/>
                <w:sz w:val="19"/>
                <w:szCs w:val="19"/>
                <w:lang w:val="en"/>
              </w:rPr>
              <w:t>32.9</w:t>
            </w:r>
          </w:p>
        </w:tc>
        <w:tc>
          <w:tcPr>
            <w:tcW w:w="810" w:type="dxa"/>
          </w:tcPr>
          <w:p w:rsidR="00215F0B" w:rsidRPr="00215F0B" w:rsidRDefault="00215F0B" w:rsidP="00215F0B">
            <w:pPr>
              <w:widowControl w:val="0"/>
              <w:spacing w:line="240" w:lineRule="auto"/>
              <w:rPr>
                <w:rFonts w:eastAsia="Times New Roman" w:cs="Times New Roman"/>
                <w:sz w:val="19"/>
                <w:szCs w:val="19"/>
                <w:lang w:val="en"/>
              </w:rPr>
            </w:pPr>
            <w:r w:rsidRPr="00215F0B">
              <w:rPr>
                <w:rFonts w:eastAsia="Times New Roman" w:cs="Times New Roman"/>
                <w:sz w:val="19"/>
                <w:szCs w:val="19"/>
                <w:lang w:val="en"/>
              </w:rPr>
              <w:t>32.5</w:t>
            </w:r>
          </w:p>
        </w:tc>
        <w:tc>
          <w:tcPr>
            <w:tcW w:w="990" w:type="dxa"/>
          </w:tcPr>
          <w:p w:rsidR="00215F0B" w:rsidRPr="00215F0B" w:rsidRDefault="00215F0B" w:rsidP="00215F0B">
            <w:pPr>
              <w:widowControl w:val="0"/>
              <w:spacing w:line="240" w:lineRule="auto"/>
              <w:rPr>
                <w:rFonts w:eastAsia="Times New Roman" w:cs="Times New Roman"/>
                <w:sz w:val="19"/>
                <w:szCs w:val="19"/>
                <w:lang w:val="en"/>
              </w:rPr>
            </w:pPr>
            <w:r w:rsidRPr="00215F0B">
              <w:rPr>
                <w:rFonts w:eastAsia="Times New Roman" w:cs="Times New Roman"/>
                <w:sz w:val="19"/>
                <w:szCs w:val="19"/>
                <w:lang w:val="en"/>
              </w:rPr>
              <w:t>32.1</w:t>
            </w:r>
          </w:p>
        </w:tc>
      </w:tr>
      <w:tr w:rsidR="00215F0B" w:rsidRPr="00215F0B" w:rsidTr="00215F0B">
        <w:trPr>
          <w:jc w:val="center"/>
        </w:trPr>
        <w:tc>
          <w:tcPr>
            <w:tcW w:w="1520" w:type="dxa"/>
            <w:shd w:val="clear" w:color="auto" w:fill="auto"/>
            <w:tcMar>
              <w:top w:w="100" w:type="dxa"/>
              <w:left w:w="100" w:type="dxa"/>
              <w:bottom w:w="100" w:type="dxa"/>
              <w:right w:w="100" w:type="dxa"/>
            </w:tcMar>
          </w:tcPr>
          <w:p w:rsidR="00215F0B" w:rsidRPr="00215F0B" w:rsidRDefault="00215F0B" w:rsidP="00215F0B">
            <w:pPr>
              <w:widowControl w:val="0"/>
              <w:spacing w:line="240" w:lineRule="auto"/>
              <w:rPr>
                <w:rFonts w:eastAsia="Times New Roman" w:cs="Times New Roman"/>
                <w:sz w:val="19"/>
                <w:szCs w:val="19"/>
                <w:lang w:val="en"/>
              </w:rPr>
            </w:pPr>
            <w:r w:rsidRPr="00215F0B">
              <w:rPr>
                <w:rFonts w:eastAsia="Times New Roman" w:cs="Times New Roman"/>
                <w:sz w:val="19"/>
                <w:szCs w:val="19"/>
                <w:lang w:val="en"/>
              </w:rPr>
              <w:t>Southern Africa</w:t>
            </w:r>
          </w:p>
        </w:tc>
        <w:tc>
          <w:tcPr>
            <w:tcW w:w="900" w:type="dxa"/>
            <w:shd w:val="clear" w:color="auto" w:fill="auto"/>
            <w:tcMar>
              <w:top w:w="100" w:type="dxa"/>
              <w:left w:w="100" w:type="dxa"/>
              <w:bottom w:w="100" w:type="dxa"/>
              <w:right w:w="100" w:type="dxa"/>
            </w:tcMar>
            <w:vAlign w:val="bottom"/>
          </w:tcPr>
          <w:p w:rsidR="00215F0B" w:rsidRPr="00215F0B" w:rsidRDefault="00215F0B" w:rsidP="00215F0B">
            <w:pPr>
              <w:widowControl w:val="0"/>
              <w:spacing w:line="240" w:lineRule="auto"/>
              <w:rPr>
                <w:rFonts w:eastAsia="Times New Roman" w:cs="Times New Roman"/>
                <w:sz w:val="19"/>
                <w:szCs w:val="19"/>
                <w:lang w:val="en"/>
              </w:rPr>
            </w:pPr>
            <w:r w:rsidRPr="00215F0B">
              <w:rPr>
                <w:rFonts w:eastAsia="Times New Roman" w:cs="Times New Roman"/>
                <w:sz w:val="19"/>
                <w:szCs w:val="19"/>
                <w:lang w:val="en"/>
              </w:rPr>
              <w:t>29.9</w:t>
            </w:r>
          </w:p>
        </w:tc>
        <w:tc>
          <w:tcPr>
            <w:tcW w:w="990" w:type="dxa"/>
            <w:shd w:val="clear" w:color="auto" w:fill="auto"/>
            <w:tcMar>
              <w:top w:w="100" w:type="dxa"/>
              <w:left w:w="100" w:type="dxa"/>
              <w:bottom w:w="100" w:type="dxa"/>
              <w:right w:w="100" w:type="dxa"/>
            </w:tcMar>
            <w:vAlign w:val="bottom"/>
          </w:tcPr>
          <w:p w:rsidR="00215F0B" w:rsidRPr="00215F0B" w:rsidRDefault="00215F0B" w:rsidP="00215F0B">
            <w:pPr>
              <w:widowControl w:val="0"/>
              <w:spacing w:line="240" w:lineRule="auto"/>
              <w:rPr>
                <w:rFonts w:eastAsia="Times New Roman" w:cs="Times New Roman"/>
                <w:sz w:val="19"/>
                <w:szCs w:val="19"/>
                <w:lang w:val="en"/>
              </w:rPr>
            </w:pPr>
            <w:r w:rsidRPr="00215F0B">
              <w:rPr>
                <w:rFonts w:eastAsia="Times New Roman" w:cs="Times New Roman"/>
                <w:sz w:val="19"/>
                <w:szCs w:val="19"/>
                <w:lang w:val="en"/>
              </w:rPr>
              <w:t>29.7</w:t>
            </w:r>
          </w:p>
        </w:tc>
        <w:tc>
          <w:tcPr>
            <w:tcW w:w="810" w:type="dxa"/>
            <w:vAlign w:val="bottom"/>
          </w:tcPr>
          <w:p w:rsidR="00215F0B" w:rsidRPr="00215F0B" w:rsidRDefault="00215F0B" w:rsidP="00215F0B">
            <w:pPr>
              <w:widowControl w:val="0"/>
              <w:spacing w:line="240" w:lineRule="auto"/>
              <w:rPr>
                <w:rFonts w:eastAsia="Times New Roman" w:cs="Times New Roman"/>
                <w:sz w:val="19"/>
                <w:szCs w:val="19"/>
                <w:lang w:val="en"/>
              </w:rPr>
            </w:pPr>
            <w:r w:rsidRPr="00215F0B">
              <w:rPr>
                <w:rFonts w:eastAsia="Times New Roman" w:cs="Times New Roman"/>
                <w:sz w:val="19"/>
                <w:szCs w:val="19"/>
                <w:lang w:val="en"/>
              </w:rPr>
              <w:t>29.5</w:t>
            </w:r>
          </w:p>
        </w:tc>
        <w:tc>
          <w:tcPr>
            <w:tcW w:w="990" w:type="dxa"/>
            <w:vAlign w:val="bottom"/>
          </w:tcPr>
          <w:p w:rsidR="00215F0B" w:rsidRPr="00215F0B" w:rsidRDefault="00215F0B" w:rsidP="00215F0B">
            <w:pPr>
              <w:widowControl w:val="0"/>
              <w:spacing w:line="240" w:lineRule="auto"/>
              <w:rPr>
                <w:rFonts w:eastAsia="Times New Roman" w:cs="Times New Roman"/>
                <w:sz w:val="19"/>
                <w:szCs w:val="19"/>
                <w:lang w:val="en"/>
              </w:rPr>
            </w:pPr>
            <w:r w:rsidRPr="00215F0B">
              <w:rPr>
                <w:rFonts w:eastAsia="Times New Roman" w:cs="Times New Roman"/>
                <w:sz w:val="19"/>
                <w:szCs w:val="19"/>
                <w:lang w:val="en"/>
              </w:rPr>
              <w:t>29.3</w:t>
            </w:r>
          </w:p>
        </w:tc>
      </w:tr>
      <w:tr w:rsidR="00215F0B" w:rsidRPr="00215F0B" w:rsidTr="00215F0B">
        <w:trPr>
          <w:jc w:val="center"/>
        </w:trPr>
        <w:tc>
          <w:tcPr>
            <w:tcW w:w="1520" w:type="dxa"/>
            <w:shd w:val="clear" w:color="auto" w:fill="auto"/>
            <w:tcMar>
              <w:top w:w="100" w:type="dxa"/>
              <w:left w:w="100" w:type="dxa"/>
              <w:bottom w:w="100" w:type="dxa"/>
              <w:right w:w="100" w:type="dxa"/>
            </w:tcMar>
          </w:tcPr>
          <w:p w:rsidR="00215F0B" w:rsidRPr="00215F0B" w:rsidRDefault="00215F0B" w:rsidP="00215F0B">
            <w:pPr>
              <w:widowControl w:val="0"/>
              <w:spacing w:line="240" w:lineRule="auto"/>
              <w:rPr>
                <w:rFonts w:eastAsia="Times New Roman" w:cs="Times New Roman"/>
                <w:sz w:val="19"/>
                <w:szCs w:val="19"/>
                <w:lang w:val="en"/>
              </w:rPr>
            </w:pPr>
            <w:r w:rsidRPr="00215F0B">
              <w:rPr>
                <w:rFonts w:eastAsia="Times New Roman" w:cs="Times New Roman"/>
                <w:sz w:val="19"/>
                <w:szCs w:val="19"/>
                <w:lang w:val="en"/>
              </w:rPr>
              <w:t>Western Africa</w:t>
            </w:r>
          </w:p>
        </w:tc>
        <w:tc>
          <w:tcPr>
            <w:tcW w:w="900" w:type="dxa"/>
            <w:shd w:val="clear" w:color="auto" w:fill="auto"/>
            <w:tcMar>
              <w:top w:w="100" w:type="dxa"/>
              <w:left w:w="100" w:type="dxa"/>
              <w:bottom w:w="100" w:type="dxa"/>
              <w:right w:w="100" w:type="dxa"/>
            </w:tcMar>
          </w:tcPr>
          <w:p w:rsidR="00215F0B" w:rsidRPr="00215F0B" w:rsidRDefault="00215F0B" w:rsidP="00215F0B">
            <w:pPr>
              <w:widowControl w:val="0"/>
              <w:spacing w:line="240" w:lineRule="auto"/>
              <w:rPr>
                <w:rFonts w:eastAsia="Times New Roman" w:cs="Times New Roman"/>
                <w:sz w:val="19"/>
                <w:szCs w:val="19"/>
                <w:lang w:val="en"/>
              </w:rPr>
            </w:pPr>
            <w:r w:rsidRPr="00215F0B">
              <w:rPr>
                <w:rFonts w:eastAsia="Times New Roman" w:cs="Times New Roman"/>
                <w:sz w:val="19"/>
                <w:szCs w:val="19"/>
                <w:lang w:val="en"/>
              </w:rPr>
              <w:t>30.3</w:t>
            </w:r>
          </w:p>
        </w:tc>
        <w:tc>
          <w:tcPr>
            <w:tcW w:w="990" w:type="dxa"/>
            <w:shd w:val="clear" w:color="auto" w:fill="auto"/>
            <w:tcMar>
              <w:top w:w="100" w:type="dxa"/>
              <w:left w:w="100" w:type="dxa"/>
              <w:bottom w:w="100" w:type="dxa"/>
              <w:right w:w="100" w:type="dxa"/>
            </w:tcMar>
          </w:tcPr>
          <w:p w:rsidR="00215F0B" w:rsidRPr="00215F0B" w:rsidRDefault="00215F0B" w:rsidP="00215F0B">
            <w:pPr>
              <w:widowControl w:val="0"/>
              <w:spacing w:line="240" w:lineRule="auto"/>
              <w:rPr>
                <w:rFonts w:eastAsia="Times New Roman" w:cs="Times New Roman"/>
                <w:sz w:val="19"/>
                <w:szCs w:val="19"/>
                <w:lang w:val="en"/>
              </w:rPr>
            </w:pPr>
            <w:r w:rsidRPr="00215F0B">
              <w:rPr>
                <w:rFonts w:eastAsia="Times New Roman" w:cs="Times New Roman"/>
                <w:sz w:val="19"/>
                <w:szCs w:val="19"/>
                <w:lang w:val="en"/>
              </w:rPr>
              <w:t>29.9</w:t>
            </w:r>
          </w:p>
        </w:tc>
        <w:tc>
          <w:tcPr>
            <w:tcW w:w="810" w:type="dxa"/>
          </w:tcPr>
          <w:p w:rsidR="00215F0B" w:rsidRPr="00215F0B" w:rsidRDefault="00215F0B" w:rsidP="00215F0B">
            <w:pPr>
              <w:widowControl w:val="0"/>
              <w:spacing w:line="240" w:lineRule="auto"/>
              <w:rPr>
                <w:rFonts w:eastAsia="Times New Roman" w:cs="Times New Roman"/>
                <w:sz w:val="19"/>
                <w:szCs w:val="19"/>
                <w:lang w:val="en"/>
              </w:rPr>
            </w:pPr>
            <w:r w:rsidRPr="00215F0B">
              <w:rPr>
                <w:rFonts w:eastAsia="Times New Roman" w:cs="Times New Roman"/>
                <w:sz w:val="19"/>
                <w:szCs w:val="19"/>
                <w:lang w:val="en"/>
              </w:rPr>
              <w:t>29.5</w:t>
            </w:r>
          </w:p>
        </w:tc>
        <w:tc>
          <w:tcPr>
            <w:tcW w:w="990" w:type="dxa"/>
          </w:tcPr>
          <w:p w:rsidR="00215F0B" w:rsidRPr="00215F0B" w:rsidRDefault="00215F0B" w:rsidP="00215F0B">
            <w:pPr>
              <w:widowControl w:val="0"/>
              <w:spacing w:line="240" w:lineRule="auto"/>
              <w:rPr>
                <w:rFonts w:eastAsia="Times New Roman" w:cs="Times New Roman"/>
                <w:sz w:val="19"/>
                <w:szCs w:val="19"/>
                <w:lang w:val="en"/>
              </w:rPr>
            </w:pPr>
            <w:r w:rsidRPr="00215F0B">
              <w:rPr>
                <w:rFonts w:eastAsia="Times New Roman" w:cs="Times New Roman"/>
                <w:sz w:val="19"/>
                <w:szCs w:val="19"/>
                <w:lang w:val="en"/>
              </w:rPr>
              <w:t>29.2</w:t>
            </w:r>
          </w:p>
        </w:tc>
      </w:tr>
    </w:tbl>
    <w:p w:rsidR="00215F0B" w:rsidRPr="00215F0B" w:rsidRDefault="00215F0B" w:rsidP="00215F0B">
      <w:pPr>
        <w:pBdr>
          <w:top w:val="nil"/>
          <w:left w:val="nil"/>
          <w:bottom w:val="none" w:sz="0" w:space="1" w:color="000000"/>
          <w:right w:val="nil"/>
          <w:between w:val="nil"/>
        </w:pBdr>
        <w:spacing w:before="160" w:line="240" w:lineRule="auto"/>
        <w:ind w:right="160"/>
        <w:rPr>
          <w:rFonts w:eastAsia="Times New Roman" w:cs="Times New Roman"/>
          <w:sz w:val="19"/>
          <w:szCs w:val="19"/>
          <w:lang w:val="en"/>
        </w:rPr>
      </w:pPr>
      <w:r w:rsidRPr="00215F0B">
        <w:rPr>
          <w:rFonts w:eastAsia="Times New Roman" w:cs="Times New Roman"/>
          <w:sz w:val="19"/>
          <w:szCs w:val="19"/>
          <w:lang w:val="en"/>
        </w:rPr>
        <w:t xml:space="preserve">Source: UNICEF, WHO, World Bank Group Joint Malnutrition Estimates, March 2019 Edition. Stunting prevalence 1990-2018 </w:t>
      </w:r>
      <w:r w:rsidRPr="00215F0B">
        <w:rPr>
          <w:rFonts w:eastAsia="Times New Roman" w:cs="Times New Roman"/>
          <w:sz w:val="19"/>
          <w:szCs w:val="19"/>
          <w:lang w:val="en"/>
        </w:rPr>
        <w:fldChar w:fldCharType="begin" w:fldLock="1"/>
      </w:r>
      <w:r w:rsidRPr="00215F0B">
        <w:rPr>
          <w:rFonts w:eastAsia="Times New Roman" w:cs="Times New Roman"/>
          <w:sz w:val="19"/>
          <w:szCs w:val="19"/>
          <w:lang w:val="en"/>
        </w:rPr>
        <w:instrText>ADDIN CSL_CITATION {"citationItems":[{"id":"ITEM-1","itemData":{"URL":"https://data.unicef.org/topic/nutrition/malnutrition/","accessed":{"date-parts":[["2009","9","20"]]},"author":[{"dropping-particle":"","family":"UNICEF","given":"","non-dropping-particle":"","parse-names":false,"suffix":""},{"dropping-particle":"","family":"WHO","given":"","non-dropping-particle":"","parse-names":false,"suffix":""},{"dropping-particle":"","family":"World Bank","given":"","non-dropping-particle":"","parse-names":false,"suffix":""}],"container-title":"UNICEF Data: Monitoring the situation of children and women","id":"ITEM-1","issued":{"date-parts":[["2019"]]},"title":"Joint child malnutrition estimates (global and regional), April 2019 edition","type":"webpage"},"uris":["http://www.mendeley.com/documents/?uuid=273c2196-f364-401d-9ff3-015a9bf21d51"]}],"mendeley":{"formattedCitation":"(UNICEF, WHO and World Bank, 2019)","plainTextFormattedCitation":"(UNICEF, WHO and World Bank, 2019)","previouslyFormattedCitation":"(UNICEF, WHO and World Bank, 2019)"},"properties":{"noteIndex":0},"schema":"https://github.com/citation-style-language/schema/raw/master/csl-citation.json"}</w:instrText>
      </w:r>
      <w:r w:rsidRPr="00215F0B">
        <w:rPr>
          <w:rFonts w:eastAsia="Times New Roman" w:cs="Times New Roman"/>
          <w:sz w:val="19"/>
          <w:szCs w:val="19"/>
          <w:lang w:val="en"/>
        </w:rPr>
        <w:fldChar w:fldCharType="separate"/>
      </w:r>
      <w:r w:rsidRPr="00215F0B">
        <w:rPr>
          <w:rFonts w:eastAsia="Times New Roman" w:cs="Times New Roman"/>
          <w:noProof/>
          <w:sz w:val="19"/>
          <w:szCs w:val="19"/>
          <w:lang w:val="en"/>
        </w:rPr>
        <w:t>(UNICEF, WHO and World Bank, 2019)</w:t>
      </w:r>
      <w:r w:rsidRPr="00215F0B">
        <w:rPr>
          <w:rFonts w:eastAsia="Times New Roman" w:cs="Times New Roman"/>
          <w:sz w:val="19"/>
          <w:szCs w:val="19"/>
          <w:lang w:val="en"/>
        </w:rPr>
        <w:fldChar w:fldCharType="end"/>
      </w:r>
    </w:p>
    <w:p w:rsidR="001C72A7" w:rsidRPr="001C72A7" w:rsidRDefault="001C72A7" w:rsidP="00215F0B">
      <w:pPr>
        <w:spacing w:line="360" w:lineRule="auto"/>
        <w:rPr>
          <w:rFonts w:eastAsia="Times New Roman" w:cs="Times New Roman"/>
          <w:b/>
          <w:sz w:val="22"/>
          <w:szCs w:val="22"/>
          <w:lang w:val="en"/>
        </w:rPr>
      </w:pPr>
    </w:p>
    <w:p w:rsidR="001C72A7" w:rsidRPr="001C72A7" w:rsidRDefault="001C72A7" w:rsidP="001C72A7">
      <w:pPr>
        <w:spacing w:line="360" w:lineRule="auto"/>
        <w:rPr>
          <w:rFonts w:eastAsia="Times New Roman" w:cs="Times New Roman"/>
          <w:b/>
          <w:sz w:val="22"/>
          <w:szCs w:val="22"/>
          <w:lang w:val="en"/>
        </w:rPr>
      </w:pPr>
      <w:r w:rsidRPr="001C72A7">
        <w:rPr>
          <w:rFonts w:eastAsia="Times New Roman" w:cs="Times New Roman"/>
          <w:b/>
          <w:sz w:val="22"/>
          <w:szCs w:val="22"/>
          <w:lang w:val="en"/>
        </w:rPr>
        <w:t xml:space="preserve">Prevalence of Malnutrition (wasting, and overweight) </w:t>
      </w:r>
    </w:p>
    <w:p w:rsidR="001C72A7" w:rsidRPr="001C72A7" w:rsidRDefault="001C72A7" w:rsidP="001C72A7">
      <w:pPr>
        <w:spacing w:line="360" w:lineRule="auto"/>
        <w:rPr>
          <w:rFonts w:eastAsia="Times New Roman" w:cs="Times New Roman"/>
          <w:sz w:val="22"/>
          <w:szCs w:val="22"/>
          <w:lang w:val="en"/>
        </w:rPr>
      </w:pPr>
      <w:r w:rsidRPr="001C72A7">
        <w:rPr>
          <w:rFonts w:eastAsia="Times New Roman" w:cs="Times New Roman"/>
          <w:i/>
          <w:sz w:val="22"/>
          <w:szCs w:val="22"/>
          <w:lang w:val="en"/>
        </w:rPr>
        <w:t xml:space="preserve">Prevalence of Wasting. </w:t>
      </w:r>
      <w:r w:rsidRPr="001C72A7">
        <w:rPr>
          <w:rFonts w:eastAsia="Times New Roman" w:cs="Times New Roman"/>
          <w:sz w:val="22"/>
          <w:szCs w:val="22"/>
          <w:lang w:val="en"/>
        </w:rPr>
        <w:t xml:space="preserve">Data gaps are observed on the measure of wasting across regions. Available data for 2018 suggests that sub-Saharan Africa has a slightly lower average than the global average (6.9% compared to 7.3%). Within the region, higher rates are reported in Western and Middle </w:t>
      </w:r>
      <w:r w:rsidR="00215F0B">
        <w:rPr>
          <w:rFonts w:eastAsia="Times New Roman" w:cs="Times New Roman"/>
          <w:sz w:val="22"/>
          <w:szCs w:val="22"/>
          <w:lang w:val="en"/>
        </w:rPr>
        <w:t>Africa respectively (see table 5</w:t>
      </w:r>
      <w:r w:rsidRPr="001C72A7">
        <w:rPr>
          <w:rFonts w:eastAsia="Times New Roman" w:cs="Times New Roman"/>
          <w:sz w:val="22"/>
          <w:szCs w:val="22"/>
          <w:lang w:val="en"/>
        </w:rPr>
        <w:t>).</w:t>
      </w:r>
    </w:p>
    <w:p w:rsidR="001C72A7" w:rsidRPr="001C72A7" w:rsidRDefault="001C72A7" w:rsidP="001C72A7">
      <w:pPr>
        <w:widowControl w:val="0"/>
        <w:spacing w:line="240" w:lineRule="auto"/>
        <w:rPr>
          <w:rFonts w:eastAsia="Times New Roman" w:cs="Times New Roman"/>
          <w:b/>
          <w:sz w:val="22"/>
          <w:szCs w:val="22"/>
          <w:lang w:val="en"/>
        </w:rPr>
      </w:pPr>
    </w:p>
    <w:p w:rsidR="00215F0B" w:rsidRPr="00215F0B" w:rsidRDefault="00215F0B" w:rsidP="00215F0B">
      <w:pPr>
        <w:widowControl w:val="0"/>
        <w:spacing w:line="240" w:lineRule="auto"/>
        <w:rPr>
          <w:rFonts w:eastAsia="Times New Roman" w:cs="Times New Roman"/>
          <w:sz w:val="19"/>
          <w:szCs w:val="19"/>
          <w:lang w:val="en"/>
        </w:rPr>
      </w:pPr>
      <w:r w:rsidRPr="00215F0B">
        <w:rPr>
          <w:rFonts w:eastAsia="Times New Roman" w:cs="Times New Roman"/>
          <w:b/>
          <w:sz w:val="19"/>
          <w:szCs w:val="19"/>
          <w:lang w:val="en"/>
        </w:rPr>
        <w:t>Table 5. Prevalence of Wasting, weight for height (% of children under 5</w:t>
      </w:r>
      <w:r w:rsidRPr="00215F0B">
        <w:rPr>
          <w:rFonts w:eastAsia="Times New Roman" w:cs="Times New Roman"/>
          <w:sz w:val="19"/>
          <w:szCs w:val="19"/>
          <w:lang w:val="en"/>
        </w:rPr>
        <w:t>)</w:t>
      </w:r>
    </w:p>
    <w:p w:rsidR="00215F0B" w:rsidRPr="00215F0B" w:rsidRDefault="00215F0B" w:rsidP="00215F0B">
      <w:pPr>
        <w:widowControl w:val="0"/>
        <w:spacing w:line="240" w:lineRule="auto"/>
        <w:rPr>
          <w:rFonts w:eastAsia="Times New Roman" w:cs="Times New Roman"/>
          <w:sz w:val="19"/>
          <w:szCs w:val="19"/>
          <w:lang w:val="en"/>
        </w:rPr>
      </w:pPr>
    </w:p>
    <w:tbl>
      <w:tblPr>
        <w:tblW w:w="3320" w:type="dxa"/>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Look w:val="0600" w:firstRow="0" w:lastRow="0" w:firstColumn="0" w:lastColumn="0" w:noHBand="1" w:noVBand="1"/>
      </w:tblPr>
      <w:tblGrid>
        <w:gridCol w:w="1430"/>
        <w:gridCol w:w="1170"/>
        <w:gridCol w:w="720"/>
      </w:tblGrid>
      <w:tr w:rsidR="00215F0B" w:rsidRPr="00215F0B" w:rsidTr="00215F0B">
        <w:tc>
          <w:tcPr>
            <w:tcW w:w="1430" w:type="dxa"/>
            <w:shd w:val="clear" w:color="auto" w:fill="auto"/>
            <w:tcMar>
              <w:top w:w="100" w:type="dxa"/>
              <w:left w:w="100" w:type="dxa"/>
              <w:bottom w:w="100" w:type="dxa"/>
              <w:right w:w="100" w:type="dxa"/>
            </w:tcMar>
          </w:tcPr>
          <w:p w:rsidR="00215F0B" w:rsidRPr="00215F0B" w:rsidRDefault="00215F0B" w:rsidP="00215F0B">
            <w:pPr>
              <w:widowControl w:val="0"/>
              <w:spacing w:line="240" w:lineRule="auto"/>
              <w:rPr>
                <w:rFonts w:eastAsia="Times New Roman" w:cs="Times New Roman"/>
                <w:sz w:val="19"/>
                <w:szCs w:val="19"/>
                <w:lang w:val="en"/>
              </w:rPr>
            </w:pPr>
            <w:r w:rsidRPr="00215F0B">
              <w:rPr>
                <w:rFonts w:eastAsia="Times New Roman" w:cs="Times New Roman"/>
                <w:sz w:val="19"/>
                <w:szCs w:val="19"/>
                <w:lang w:val="en"/>
              </w:rPr>
              <w:t>Level</w:t>
            </w:r>
          </w:p>
        </w:tc>
        <w:tc>
          <w:tcPr>
            <w:tcW w:w="1170" w:type="dxa"/>
            <w:shd w:val="clear" w:color="auto" w:fill="auto"/>
            <w:tcMar>
              <w:top w:w="100" w:type="dxa"/>
              <w:left w:w="100" w:type="dxa"/>
              <w:bottom w:w="100" w:type="dxa"/>
              <w:right w:w="100" w:type="dxa"/>
            </w:tcMar>
          </w:tcPr>
          <w:p w:rsidR="00215F0B" w:rsidRPr="00215F0B" w:rsidRDefault="00215F0B" w:rsidP="00215F0B">
            <w:pPr>
              <w:widowControl w:val="0"/>
              <w:spacing w:line="240" w:lineRule="auto"/>
              <w:rPr>
                <w:rFonts w:eastAsia="Times New Roman" w:cs="Times New Roman"/>
                <w:sz w:val="19"/>
                <w:szCs w:val="19"/>
                <w:lang w:val="en"/>
              </w:rPr>
            </w:pPr>
            <w:r w:rsidRPr="00215F0B">
              <w:rPr>
                <w:rFonts w:eastAsia="Times New Roman" w:cs="Times New Roman"/>
                <w:sz w:val="19"/>
                <w:szCs w:val="19"/>
                <w:lang w:val="en"/>
              </w:rPr>
              <w:t>2015-2017</w:t>
            </w:r>
          </w:p>
        </w:tc>
        <w:tc>
          <w:tcPr>
            <w:tcW w:w="720" w:type="dxa"/>
            <w:shd w:val="clear" w:color="auto" w:fill="auto"/>
            <w:tcMar>
              <w:top w:w="100" w:type="dxa"/>
              <w:left w:w="100" w:type="dxa"/>
              <w:bottom w:w="100" w:type="dxa"/>
              <w:right w:w="100" w:type="dxa"/>
            </w:tcMar>
          </w:tcPr>
          <w:p w:rsidR="00215F0B" w:rsidRPr="00215F0B" w:rsidRDefault="00215F0B" w:rsidP="00215F0B">
            <w:pPr>
              <w:widowControl w:val="0"/>
              <w:spacing w:line="240" w:lineRule="auto"/>
              <w:rPr>
                <w:rFonts w:eastAsia="Times New Roman" w:cs="Times New Roman"/>
                <w:sz w:val="19"/>
                <w:szCs w:val="19"/>
                <w:lang w:val="en"/>
              </w:rPr>
            </w:pPr>
            <w:r w:rsidRPr="00215F0B">
              <w:rPr>
                <w:rFonts w:eastAsia="Times New Roman" w:cs="Times New Roman"/>
                <w:sz w:val="19"/>
                <w:szCs w:val="19"/>
                <w:lang w:val="en"/>
              </w:rPr>
              <w:t>2018</w:t>
            </w:r>
          </w:p>
        </w:tc>
      </w:tr>
      <w:tr w:rsidR="00215F0B" w:rsidRPr="00215F0B" w:rsidTr="00215F0B">
        <w:tc>
          <w:tcPr>
            <w:tcW w:w="1430" w:type="dxa"/>
            <w:shd w:val="clear" w:color="auto" w:fill="auto"/>
            <w:tcMar>
              <w:top w:w="100" w:type="dxa"/>
              <w:left w:w="100" w:type="dxa"/>
              <w:bottom w:w="100" w:type="dxa"/>
              <w:right w:w="100" w:type="dxa"/>
            </w:tcMar>
          </w:tcPr>
          <w:p w:rsidR="00215F0B" w:rsidRPr="00215F0B" w:rsidRDefault="00215F0B" w:rsidP="00215F0B">
            <w:pPr>
              <w:widowControl w:val="0"/>
              <w:spacing w:line="240" w:lineRule="auto"/>
              <w:rPr>
                <w:rFonts w:eastAsia="Times New Roman" w:cs="Times New Roman"/>
                <w:sz w:val="19"/>
                <w:szCs w:val="19"/>
                <w:lang w:val="en"/>
              </w:rPr>
            </w:pPr>
            <w:r w:rsidRPr="00215F0B">
              <w:rPr>
                <w:rFonts w:eastAsia="Times New Roman" w:cs="Times New Roman"/>
                <w:sz w:val="19"/>
                <w:szCs w:val="19"/>
                <w:lang w:val="en"/>
              </w:rPr>
              <w:t>World Level</w:t>
            </w:r>
          </w:p>
        </w:tc>
        <w:tc>
          <w:tcPr>
            <w:tcW w:w="1170" w:type="dxa"/>
            <w:shd w:val="clear" w:color="auto" w:fill="auto"/>
            <w:tcMar>
              <w:top w:w="100" w:type="dxa"/>
              <w:left w:w="100" w:type="dxa"/>
              <w:bottom w:w="100" w:type="dxa"/>
              <w:right w:w="100" w:type="dxa"/>
            </w:tcMar>
          </w:tcPr>
          <w:p w:rsidR="00215F0B" w:rsidRPr="00215F0B" w:rsidRDefault="00215F0B" w:rsidP="00215F0B">
            <w:pPr>
              <w:widowControl w:val="0"/>
              <w:spacing w:line="240" w:lineRule="auto"/>
              <w:rPr>
                <w:rFonts w:eastAsia="Times New Roman" w:cs="Times New Roman"/>
                <w:sz w:val="19"/>
                <w:szCs w:val="19"/>
                <w:lang w:val="en"/>
              </w:rPr>
            </w:pPr>
            <w:r w:rsidRPr="00215F0B">
              <w:rPr>
                <w:rFonts w:eastAsia="Times New Roman" w:cs="Times New Roman"/>
                <w:sz w:val="19"/>
                <w:szCs w:val="19"/>
                <w:lang w:val="en"/>
              </w:rPr>
              <w:t>N/A</w:t>
            </w:r>
          </w:p>
        </w:tc>
        <w:tc>
          <w:tcPr>
            <w:tcW w:w="720" w:type="dxa"/>
            <w:shd w:val="clear" w:color="auto" w:fill="auto"/>
            <w:tcMar>
              <w:top w:w="100" w:type="dxa"/>
              <w:left w:w="100" w:type="dxa"/>
              <w:bottom w:w="100" w:type="dxa"/>
              <w:right w:w="100" w:type="dxa"/>
            </w:tcMar>
          </w:tcPr>
          <w:p w:rsidR="00215F0B" w:rsidRPr="00215F0B" w:rsidRDefault="00215F0B" w:rsidP="00215F0B">
            <w:pPr>
              <w:widowControl w:val="0"/>
              <w:spacing w:line="240" w:lineRule="auto"/>
              <w:rPr>
                <w:rFonts w:eastAsia="Times New Roman" w:cs="Times New Roman"/>
                <w:sz w:val="19"/>
                <w:szCs w:val="19"/>
                <w:lang w:val="en"/>
              </w:rPr>
            </w:pPr>
            <w:r w:rsidRPr="00215F0B">
              <w:rPr>
                <w:rFonts w:eastAsia="Times New Roman" w:cs="Times New Roman"/>
                <w:sz w:val="19"/>
                <w:szCs w:val="19"/>
                <w:lang w:val="en"/>
              </w:rPr>
              <w:t>7.3</w:t>
            </w:r>
          </w:p>
        </w:tc>
      </w:tr>
      <w:tr w:rsidR="00215F0B" w:rsidRPr="00215F0B" w:rsidTr="00215F0B">
        <w:tc>
          <w:tcPr>
            <w:tcW w:w="1430" w:type="dxa"/>
            <w:shd w:val="clear" w:color="auto" w:fill="auto"/>
            <w:tcMar>
              <w:top w:w="100" w:type="dxa"/>
              <w:left w:w="100" w:type="dxa"/>
              <w:bottom w:w="100" w:type="dxa"/>
              <w:right w:w="100" w:type="dxa"/>
            </w:tcMar>
          </w:tcPr>
          <w:p w:rsidR="00215F0B" w:rsidRPr="00215F0B" w:rsidRDefault="00215F0B" w:rsidP="00215F0B">
            <w:pPr>
              <w:widowControl w:val="0"/>
              <w:spacing w:line="240" w:lineRule="auto"/>
              <w:rPr>
                <w:rFonts w:eastAsia="Times New Roman" w:cs="Times New Roman"/>
                <w:sz w:val="19"/>
                <w:szCs w:val="19"/>
                <w:lang w:val="en"/>
              </w:rPr>
            </w:pPr>
            <w:r w:rsidRPr="00215F0B">
              <w:rPr>
                <w:rFonts w:eastAsia="Times New Roman" w:cs="Times New Roman"/>
                <w:sz w:val="19"/>
                <w:szCs w:val="19"/>
                <w:lang w:val="en"/>
              </w:rPr>
              <w:t>Regional (SSA)</w:t>
            </w:r>
          </w:p>
        </w:tc>
        <w:tc>
          <w:tcPr>
            <w:tcW w:w="1170" w:type="dxa"/>
            <w:shd w:val="clear" w:color="auto" w:fill="auto"/>
            <w:tcMar>
              <w:top w:w="100" w:type="dxa"/>
              <w:left w:w="100" w:type="dxa"/>
              <w:bottom w:w="100" w:type="dxa"/>
              <w:right w:w="100" w:type="dxa"/>
            </w:tcMar>
          </w:tcPr>
          <w:p w:rsidR="00215F0B" w:rsidRPr="00215F0B" w:rsidRDefault="00215F0B" w:rsidP="00215F0B">
            <w:pPr>
              <w:widowControl w:val="0"/>
              <w:spacing w:line="240" w:lineRule="auto"/>
              <w:rPr>
                <w:rFonts w:eastAsia="Times New Roman" w:cs="Times New Roman"/>
                <w:sz w:val="19"/>
                <w:szCs w:val="19"/>
                <w:lang w:val="en"/>
              </w:rPr>
            </w:pPr>
            <w:r w:rsidRPr="00215F0B">
              <w:rPr>
                <w:rFonts w:eastAsia="Times New Roman" w:cs="Times New Roman"/>
                <w:sz w:val="19"/>
                <w:szCs w:val="19"/>
                <w:lang w:val="en"/>
              </w:rPr>
              <w:t>N/A</w:t>
            </w:r>
          </w:p>
        </w:tc>
        <w:tc>
          <w:tcPr>
            <w:tcW w:w="720" w:type="dxa"/>
            <w:shd w:val="clear" w:color="auto" w:fill="auto"/>
            <w:tcMar>
              <w:top w:w="100" w:type="dxa"/>
              <w:left w:w="100" w:type="dxa"/>
              <w:bottom w:w="100" w:type="dxa"/>
              <w:right w:w="100" w:type="dxa"/>
            </w:tcMar>
          </w:tcPr>
          <w:p w:rsidR="00215F0B" w:rsidRPr="00215F0B" w:rsidRDefault="00215F0B" w:rsidP="00215F0B">
            <w:pPr>
              <w:widowControl w:val="0"/>
              <w:spacing w:line="240" w:lineRule="auto"/>
              <w:rPr>
                <w:rFonts w:eastAsia="Times New Roman" w:cs="Times New Roman"/>
                <w:sz w:val="19"/>
                <w:szCs w:val="19"/>
                <w:lang w:val="en"/>
              </w:rPr>
            </w:pPr>
            <w:r w:rsidRPr="00215F0B">
              <w:rPr>
                <w:rFonts w:eastAsia="Times New Roman" w:cs="Times New Roman"/>
                <w:sz w:val="19"/>
                <w:szCs w:val="19"/>
                <w:lang w:val="en"/>
              </w:rPr>
              <w:t>6.9</w:t>
            </w:r>
          </w:p>
        </w:tc>
      </w:tr>
      <w:tr w:rsidR="00215F0B" w:rsidRPr="00215F0B" w:rsidTr="00215F0B">
        <w:tc>
          <w:tcPr>
            <w:tcW w:w="1430" w:type="dxa"/>
            <w:shd w:val="clear" w:color="auto" w:fill="auto"/>
            <w:tcMar>
              <w:top w:w="100" w:type="dxa"/>
              <w:left w:w="100" w:type="dxa"/>
              <w:bottom w:w="100" w:type="dxa"/>
              <w:right w:w="100" w:type="dxa"/>
            </w:tcMar>
          </w:tcPr>
          <w:p w:rsidR="00215F0B" w:rsidRPr="00215F0B" w:rsidRDefault="00215F0B" w:rsidP="00215F0B">
            <w:pPr>
              <w:widowControl w:val="0"/>
              <w:spacing w:line="240" w:lineRule="auto"/>
              <w:rPr>
                <w:rFonts w:eastAsia="Times New Roman" w:cs="Times New Roman"/>
                <w:sz w:val="19"/>
                <w:szCs w:val="19"/>
                <w:lang w:val="en"/>
              </w:rPr>
            </w:pPr>
            <w:r w:rsidRPr="00215F0B">
              <w:rPr>
                <w:rFonts w:eastAsia="Times New Roman" w:cs="Times New Roman"/>
                <w:sz w:val="19"/>
                <w:szCs w:val="19"/>
                <w:lang w:val="en"/>
              </w:rPr>
              <w:t>Eastern Africa</w:t>
            </w:r>
          </w:p>
        </w:tc>
        <w:tc>
          <w:tcPr>
            <w:tcW w:w="1170" w:type="dxa"/>
            <w:shd w:val="clear" w:color="auto" w:fill="auto"/>
            <w:tcMar>
              <w:top w:w="100" w:type="dxa"/>
              <w:left w:w="100" w:type="dxa"/>
              <w:bottom w:w="100" w:type="dxa"/>
              <w:right w:w="100" w:type="dxa"/>
            </w:tcMar>
          </w:tcPr>
          <w:p w:rsidR="00215F0B" w:rsidRPr="00215F0B" w:rsidRDefault="00215F0B" w:rsidP="00215F0B">
            <w:pPr>
              <w:widowControl w:val="0"/>
              <w:spacing w:line="240" w:lineRule="auto"/>
              <w:rPr>
                <w:rFonts w:eastAsia="Times New Roman" w:cs="Times New Roman"/>
                <w:sz w:val="19"/>
                <w:szCs w:val="19"/>
                <w:lang w:val="en"/>
              </w:rPr>
            </w:pPr>
            <w:r w:rsidRPr="00215F0B">
              <w:rPr>
                <w:rFonts w:eastAsia="Times New Roman" w:cs="Times New Roman"/>
                <w:sz w:val="19"/>
                <w:szCs w:val="19"/>
                <w:lang w:val="en"/>
              </w:rPr>
              <w:t>N/A</w:t>
            </w:r>
          </w:p>
        </w:tc>
        <w:tc>
          <w:tcPr>
            <w:tcW w:w="720" w:type="dxa"/>
            <w:shd w:val="clear" w:color="auto" w:fill="auto"/>
            <w:tcMar>
              <w:top w:w="100" w:type="dxa"/>
              <w:left w:w="100" w:type="dxa"/>
              <w:bottom w:w="100" w:type="dxa"/>
              <w:right w:w="100" w:type="dxa"/>
            </w:tcMar>
          </w:tcPr>
          <w:p w:rsidR="00215F0B" w:rsidRPr="00215F0B" w:rsidRDefault="00215F0B" w:rsidP="00215F0B">
            <w:pPr>
              <w:widowControl w:val="0"/>
              <w:spacing w:line="240" w:lineRule="auto"/>
              <w:rPr>
                <w:rFonts w:eastAsia="Times New Roman" w:cs="Times New Roman"/>
                <w:sz w:val="19"/>
                <w:szCs w:val="19"/>
                <w:lang w:val="en"/>
              </w:rPr>
            </w:pPr>
            <w:r w:rsidRPr="00215F0B">
              <w:rPr>
                <w:rFonts w:eastAsia="Times New Roman" w:cs="Times New Roman"/>
                <w:sz w:val="19"/>
                <w:szCs w:val="19"/>
                <w:lang w:val="en"/>
              </w:rPr>
              <w:t>6.0</w:t>
            </w:r>
          </w:p>
        </w:tc>
      </w:tr>
      <w:tr w:rsidR="00215F0B" w:rsidRPr="00215F0B" w:rsidTr="00215F0B">
        <w:tc>
          <w:tcPr>
            <w:tcW w:w="1430" w:type="dxa"/>
            <w:shd w:val="clear" w:color="auto" w:fill="auto"/>
            <w:tcMar>
              <w:top w:w="100" w:type="dxa"/>
              <w:left w:w="100" w:type="dxa"/>
              <w:bottom w:w="100" w:type="dxa"/>
              <w:right w:w="100" w:type="dxa"/>
            </w:tcMar>
          </w:tcPr>
          <w:p w:rsidR="00215F0B" w:rsidRPr="00215F0B" w:rsidRDefault="00215F0B" w:rsidP="00215F0B">
            <w:pPr>
              <w:widowControl w:val="0"/>
              <w:spacing w:line="240" w:lineRule="auto"/>
              <w:rPr>
                <w:rFonts w:eastAsia="Times New Roman" w:cs="Times New Roman"/>
                <w:sz w:val="19"/>
                <w:szCs w:val="19"/>
                <w:lang w:val="en"/>
              </w:rPr>
            </w:pPr>
            <w:r w:rsidRPr="00215F0B">
              <w:rPr>
                <w:rFonts w:eastAsia="Times New Roman" w:cs="Times New Roman"/>
                <w:sz w:val="19"/>
                <w:szCs w:val="19"/>
                <w:lang w:val="en"/>
              </w:rPr>
              <w:t>Middle Africa</w:t>
            </w:r>
          </w:p>
        </w:tc>
        <w:tc>
          <w:tcPr>
            <w:tcW w:w="1170" w:type="dxa"/>
            <w:shd w:val="clear" w:color="auto" w:fill="auto"/>
            <w:tcMar>
              <w:top w:w="100" w:type="dxa"/>
              <w:left w:w="100" w:type="dxa"/>
              <w:bottom w:w="100" w:type="dxa"/>
              <w:right w:w="100" w:type="dxa"/>
            </w:tcMar>
          </w:tcPr>
          <w:p w:rsidR="00215F0B" w:rsidRPr="00215F0B" w:rsidRDefault="00215F0B" w:rsidP="00215F0B">
            <w:pPr>
              <w:widowControl w:val="0"/>
              <w:spacing w:line="240" w:lineRule="auto"/>
              <w:rPr>
                <w:rFonts w:eastAsia="Times New Roman" w:cs="Times New Roman"/>
                <w:sz w:val="19"/>
                <w:szCs w:val="19"/>
                <w:lang w:val="en"/>
              </w:rPr>
            </w:pPr>
            <w:r w:rsidRPr="00215F0B">
              <w:rPr>
                <w:rFonts w:eastAsia="Times New Roman" w:cs="Times New Roman"/>
                <w:sz w:val="19"/>
                <w:szCs w:val="19"/>
                <w:lang w:val="en"/>
              </w:rPr>
              <w:t>N/A</w:t>
            </w:r>
          </w:p>
        </w:tc>
        <w:tc>
          <w:tcPr>
            <w:tcW w:w="720" w:type="dxa"/>
            <w:shd w:val="clear" w:color="auto" w:fill="auto"/>
            <w:tcMar>
              <w:top w:w="100" w:type="dxa"/>
              <w:left w:w="100" w:type="dxa"/>
              <w:bottom w:w="100" w:type="dxa"/>
              <w:right w:w="100" w:type="dxa"/>
            </w:tcMar>
          </w:tcPr>
          <w:p w:rsidR="00215F0B" w:rsidRPr="00215F0B" w:rsidRDefault="00215F0B" w:rsidP="00215F0B">
            <w:pPr>
              <w:widowControl w:val="0"/>
              <w:spacing w:line="240" w:lineRule="auto"/>
              <w:rPr>
                <w:rFonts w:eastAsia="Times New Roman" w:cs="Times New Roman"/>
                <w:sz w:val="19"/>
                <w:szCs w:val="19"/>
                <w:lang w:val="en"/>
              </w:rPr>
            </w:pPr>
            <w:r w:rsidRPr="00215F0B">
              <w:rPr>
                <w:rFonts w:eastAsia="Times New Roman" w:cs="Times New Roman"/>
                <w:sz w:val="19"/>
                <w:szCs w:val="19"/>
                <w:lang w:val="en"/>
              </w:rPr>
              <w:t>7.2</w:t>
            </w:r>
          </w:p>
        </w:tc>
      </w:tr>
      <w:tr w:rsidR="00215F0B" w:rsidRPr="00215F0B" w:rsidTr="00215F0B">
        <w:tc>
          <w:tcPr>
            <w:tcW w:w="1430" w:type="dxa"/>
            <w:shd w:val="clear" w:color="auto" w:fill="auto"/>
            <w:tcMar>
              <w:top w:w="100" w:type="dxa"/>
              <w:left w:w="100" w:type="dxa"/>
              <w:bottom w:w="100" w:type="dxa"/>
              <w:right w:w="100" w:type="dxa"/>
            </w:tcMar>
          </w:tcPr>
          <w:p w:rsidR="00215F0B" w:rsidRPr="00215F0B" w:rsidRDefault="00215F0B" w:rsidP="00215F0B">
            <w:pPr>
              <w:widowControl w:val="0"/>
              <w:spacing w:line="240" w:lineRule="auto"/>
              <w:rPr>
                <w:rFonts w:eastAsia="Times New Roman" w:cs="Times New Roman"/>
                <w:sz w:val="19"/>
                <w:szCs w:val="19"/>
                <w:lang w:val="en"/>
              </w:rPr>
            </w:pPr>
            <w:r w:rsidRPr="00215F0B">
              <w:rPr>
                <w:rFonts w:eastAsia="Times New Roman" w:cs="Times New Roman"/>
                <w:sz w:val="19"/>
                <w:szCs w:val="19"/>
                <w:lang w:val="en"/>
              </w:rPr>
              <w:t>Southern Africa</w:t>
            </w:r>
          </w:p>
        </w:tc>
        <w:tc>
          <w:tcPr>
            <w:tcW w:w="1170" w:type="dxa"/>
            <w:shd w:val="clear" w:color="auto" w:fill="auto"/>
            <w:tcMar>
              <w:top w:w="100" w:type="dxa"/>
              <w:left w:w="100" w:type="dxa"/>
              <w:bottom w:w="100" w:type="dxa"/>
              <w:right w:w="100" w:type="dxa"/>
            </w:tcMar>
          </w:tcPr>
          <w:p w:rsidR="00215F0B" w:rsidRPr="00215F0B" w:rsidRDefault="00215F0B" w:rsidP="00215F0B">
            <w:pPr>
              <w:widowControl w:val="0"/>
              <w:spacing w:line="240" w:lineRule="auto"/>
              <w:rPr>
                <w:rFonts w:eastAsia="Times New Roman" w:cs="Times New Roman"/>
                <w:sz w:val="19"/>
                <w:szCs w:val="19"/>
                <w:lang w:val="en"/>
              </w:rPr>
            </w:pPr>
            <w:r w:rsidRPr="00215F0B">
              <w:rPr>
                <w:rFonts w:eastAsia="Times New Roman" w:cs="Times New Roman"/>
                <w:sz w:val="19"/>
                <w:szCs w:val="19"/>
                <w:lang w:val="en"/>
              </w:rPr>
              <w:t>N/A</w:t>
            </w:r>
          </w:p>
        </w:tc>
        <w:tc>
          <w:tcPr>
            <w:tcW w:w="720" w:type="dxa"/>
            <w:shd w:val="clear" w:color="auto" w:fill="auto"/>
            <w:tcMar>
              <w:top w:w="100" w:type="dxa"/>
              <w:left w:w="100" w:type="dxa"/>
              <w:bottom w:w="100" w:type="dxa"/>
              <w:right w:w="100" w:type="dxa"/>
            </w:tcMar>
            <w:vAlign w:val="bottom"/>
          </w:tcPr>
          <w:p w:rsidR="00215F0B" w:rsidRPr="00215F0B" w:rsidRDefault="00215F0B" w:rsidP="00215F0B">
            <w:pPr>
              <w:widowControl w:val="0"/>
              <w:spacing w:line="240" w:lineRule="auto"/>
              <w:rPr>
                <w:rFonts w:eastAsia="Times New Roman" w:cs="Times New Roman"/>
                <w:sz w:val="19"/>
                <w:szCs w:val="19"/>
                <w:lang w:val="en"/>
              </w:rPr>
            </w:pPr>
            <w:r w:rsidRPr="00215F0B">
              <w:rPr>
                <w:rFonts w:eastAsia="Times New Roman" w:cs="Times New Roman"/>
                <w:sz w:val="19"/>
                <w:szCs w:val="19"/>
                <w:lang w:val="en"/>
              </w:rPr>
              <w:t>3.5</w:t>
            </w:r>
          </w:p>
        </w:tc>
      </w:tr>
      <w:tr w:rsidR="00215F0B" w:rsidRPr="00215F0B" w:rsidTr="00215F0B">
        <w:tc>
          <w:tcPr>
            <w:tcW w:w="1430" w:type="dxa"/>
            <w:shd w:val="clear" w:color="auto" w:fill="auto"/>
            <w:tcMar>
              <w:top w:w="100" w:type="dxa"/>
              <w:left w:w="100" w:type="dxa"/>
              <w:bottom w:w="100" w:type="dxa"/>
              <w:right w:w="100" w:type="dxa"/>
            </w:tcMar>
          </w:tcPr>
          <w:p w:rsidR="00215F0B" w:rsidRPr="00215F0B" w:rsidRDefault="00215F0B" w:rsidP="00215F0B">
            <w:pPr>
              <w:widowControl w:val="0"/>
              <w:spacing w:line="240" w:lineRule="auto"/>
              <w:rPr>
                <w:rFonts w:eastAsia="Times New Roman" w:cs="Times New Roman"/>
                <w:sz w:val="19"/>
                <w:szCs w:val="19"/>
                <w:lang w:val="en"/>
              </w:rPr>
            </w:pPr>
            <w:r w:rsidRPr="00215F0B">
              <w:rPr>
                <w:rFonts w:eastAsia="Times New Roman" w:cs="Times New Roman"/>
                <w:sz w:val="19"/>
                <w:szCs w:val="19"/>
                <w:lang w:val="en"/>
              </w:rPr>
              <w:t>Western Africa</w:t>
            </w:r>
          </w:p>
        </w:tc>
        <w:tc>
          <w:tcPr>
            <w:tcW w:w="1170" w:type="dxa"/>
            <w:shd w:val="clear" w:color="auto" w:fill="auto"/>
            <w:tcMar>
              <w:top w:w="100" w:type="dxa"/>
              <w:left w:w="100" w:type="dxa"/>
              <w:bottom w:w="100" w:type="dxa"/>
              <w:right w:w="100" w:type="dxa"/>
            </w:tcMar>
          </w:tcPr>
          <w:p w:rsidR="00215F0B" w:rsidRPr="00215F0B" w:rsidRDefault="00215F0B" w:rsidP="00215F0B">
            <w:pPr>
              <w:widowControl w:val="0"/>
              <w:spacing w:line="240" w:lineRule="auto"/>
              <w:rPr>
                <w:rFonts w:eastAsia="Times New Roman" w:cs="Times New Roman"/>
                <w:sz w:val="19"/>
                <w:szCs w:val="19"/>
                <w:lang w:val="en"/>
              </w:rPr>
            </w:pPr>
            <w:r w:rsidRPr="00215F0B">
              <w:rPr>
                <w:rFonts w:eastAsia="Times New Roman" w:cs="Times New Roman"/>
                <w:sz w:val="19"/>
                <w:szCs w:val="19"/>
                <w:lang w:val="en"/>
              </w:rPr>
              <w:t>N/A</w:t>
            </w:r>
          </w:p>
        </w:tc>
        <w:tc>
          <w:tcPr>
            <w:tcW w:w="720" w:type="dxa"/>
            <w:shd w:val="clear" w:color="auto" w:fill="auto"/>
            <w:tcMar>
              <w:top w:w="100" w:type="dxa"/>
              <w:left w:w="100" w:type="dxa"/>
              <w:bottom w:w="100" w:type="dxa"/>
              <w:right w:w="100" w:type="dxa"/>
            </w:tcMar>
          </w:tcPr>
          <w:p w:rsidR="00215F0B" w:rsidRPr="00215F0B" w:rsidRDefault="00215F0B" w:rsidP="00215F0B">
            <w:pPr>
              <w:widowControl w:val="0"/>
              <w:spacing w:line="240" w:lineRule="auto"/>
              <w:rPr>
                <w:rFonts w:eastAsia="Times New Roman" w:cs="Times New Roman"/>
                <w:sz w:val="19"/>
                <w:szCs w:val="19"/>
                <w:lang w:val="en"/>
              </w:rPr>
            </w:pPr>
            <w:r w:rsidRPr="00215F0B">
              <w:rPr>
                <w:rFonts w:eastAsia="Times New Roman" w:cs="Times New Roman"/>
                <w:sz w:val="19"/>
                <w:szCs w:val="19"/>
                <w:lang w:val="en"/>
              </w:rPr>
              <w:t>8.1</w:t>
            </w:r>
          </w:p>
        </w:tc>
      </w:tr>
    </w:tbl>
    <w:p w:rsidR="00215F0B" w:rsidRPr="00215F0B" w:rsidRDefault="00215F0B" w:rsidP="00215F0B">
      <w:pPr>
        <w:pBdr>
          <w:bottom w:val="none" w:sz="0" w:space="1" w:color="000000"/>
        </w:pBdr>
        <w:spacing w:before="160" w:line="240" w:lineRule="auto"/>
        <w:ind w:right="160"/>
        <w:rPr>
          <w:rFonts w:eastAsia="Times New Roman" w:cs="Times New Roman"/>
          <w:sz w:val="16"/>
          <w:szCs w:val="16"/>
          <w:lang w:val="en"/>
        </w:rPr>
      </w:pPr>
      <w:r w:rsidRPr="00215F0B">
        <w:rPr>
          <w:rFonts w:eastAsia="Times New Roman" w:cs="Times New Roman"/>
          <w:sz w:val="16"/>
          <w:szCs w:val="16"/>
          <w:lang w:val="en"/>
        </w:rPr>
        <w:t xml:space="preserve">Source: UNICEF, WHO, World Bank Group Joint Malnutrition Estimates, March 2019 Edition. Wasting prevalence and numbers affected (millions) 2018 </w:t>
      </w:r>
      <w:r w:rsidRPr="00215F0B">
        <w:rPr>
          <w:rFonts w:eastAsia="Times New Roman" w:cs="Times New Roman"/>
          <w:sz w:val="16"/>
          <w:szCs w:val="16"/>
          <w:lang w:val="en"/>
        </w:rPr>
        <w:fldChar w:fldCharType="begin" w:fldLock="1"/>
      </w:r>
      <w:r w:rsidRPr="00215F0B">
        <w:rPr>
          <w:rFonts w:eastAsia="Times New Roman" w:cs="Times New Roman"/>
          <w:sz w:val="16"/>
          <w:szCs w:val="16"/>
          <w:lang w:val="en"/>
        </w:rPr>
        <w:instrText>ADDIN CSL_CITATION {"citationItems":[{"id":"ITEM-1","itemData":{"URL":"https://data.unicef.org/topic/nutrition/malnutrition/","accessed":{"date-parts":[["2009","9","20"]]},"author":[{"dropping-particle":"","family":"UNICEF","given":"","non-dropping-particle":"","parse-names":false,"suffix":""},{"dropping-particle":"","family":"WHO","given":"","non-dropping-particle":"","parse-names":false,"suffix":""},{"dropping-particle":"","family":"World Bank","given":"","non-dropping-particle":"","parse-names":false,"suffix":""}],"container-title":"UNICEF Data: Monitoring the situation of children and women","id":"ITEM-1","issued":{"date-parts":[["2019"]]},"title":"Joint child malnutrition estimates (global and regional), April 2019 edition","type":"webpage"},"uris":["http://www.mendeley.com/documents/?uuid=273c2196-f364-401d-9ff3-015a9bf21d51"]}],"mendeley":{"formattedCitation":"(UNICEF, WHO and World Bank, 2019)","plainTextFormattedCitation":"(UNICEF, WHO and World Bank, 2019)","previouslyFormattedCitation":"(UNICEF, WHO and World Bank, 2019)"},"properties":{"noteIndex":0},"schema":"https://github.com/citation-style-language/schema/raw/master/csl-citation.json"}</w:instrText>
      </w:r>
      <w:r w:rsidRPr="00215F0B">
        <w:rPr>
          <w:rFonts w:eastAsia="Times New Roman" w:cs="Times New Roman"/>
          <w:sz w:val="16"/>
          <w:szCs w:val="16"/>
          <w:lang w:val="en"/>
        </w:rPr>
        <w:fldChar w:fldCharType="separate"/>
      </w:r>
      <w:r w:rsidRPr="00215F0B">
        <w:rPr>
          <w:rFonts w:eastAsia="Times New Roman" w:cs="Times New Roman"/>
          <w:noProof/>
          <w:sz w:val="16"/>
          <w:szCs w:val="16"/>
          <w:lang w:val="en"/>
        </w:rPr>
        <w:t>(UNICEF, WHO and World Bank, 2019)</w:t>
      </w:r>
      <w:r w:rsidRPr="00215F0B">
        <w:rPr>
          <w:rFonts w:eastAsia="Times New Roman" w:cs="Times New Roman"/>
          <w:sz w:val="16"/>
          <w:szCs w:val="16"/>
          <w:lang w:val="en"/>
        </w:rPr>
        <w:fldChar w:fldCharType="end"/>
      </w:r>
    </w:p>
    <w:p w:rsidR="00215F0B" w:rsidRPr="00215F0B" w:rsidRDefault="00215F0B" w:rsidP="001C72A7">
      <w:pPr>
        <w:spacing w:line="360" w:lineRule="auto"/>
        <w:rPr>
          <w:rFonts w:eastAsia="Times New Roman" w:cs="Times New Roman"/>
          <w:sz w:val="22"/>
          <w:szCs w:val="22"/>
          <w:lang w:val="en"/>
        </w:rPr>
      </w:pPr>
    </w:p>
    <w:p w:rsidR="001C72A7" w:rsidRPr="001C72A7" w:rsidRDefault="001C72A7" w:rsidP="001C72A7">
      <w:pPr>
        <w:spacing w:line="360" w:lineRule="auto"/>
        <w:rPr>
          <w:rFonts w:eastAsia="Times New Roman" w:cs="Times New Roman"/>
          <w:sz w:val="22"/>
          <w:szCs w:val="22"/>
          <w:lang w:val="en"/>
        </w:rPr>
      </w:pPr>
      <w:r w:rsidRPr="001C72A7">
        <w:rPr>
          <w:rFonts w:eastAsia="Times New Roman" w:cs="Times New Roman"/>
          <w:i/>
          <w:sz w:val="22"/>
          <w:szCs w:val="22"/>
          <w:lang w:val="en"/>
        </w:rPr>
        <w:t xml:space="preserve">Prevalence of Overweight. </w:t>
      </w:r>
      <w:r w:rsidRPr="001C72A7">
        <w:rPr>
          <w:rFonts w:eastAsia="Times New Roman" w:cs="Times New Roman"/>
          <w:sz w:val="22"/>
          <w:szCs w:val="22"/>
          <w:lang w:val="en"/>
        </w:rPr>
        <w:t>The prevalence of overweight tends to be lower for sub-Saharan Africa compared to the world average from 2015-2018 (3.9 compared to 5.90). Subregions of sub-Saharan Africa reporting higher rates of overweight among children under the age of five include southern, eastern and middle Africa (see table 6).</w:t>
      </w:r>
    </w:p>
    <w:p w:rsidR="00215F0B" w:rsidRDefault="00215F0B" w:rsidP="00215F0B">
      <w:pPr>
        <w:widowControl w:val="0"/>
        <w:spacing w:line="240" w:lineRule="auto"/>
        <w:rPr>
          <w:rFonts w:eastAsia="Times New Roman" w:cs="Times New Roman"/>
          <w:b/>
          <w:sz w:val="19"/>
          <w:szCs w:val="19"/>
          <w:lang w:val="en"/>
        </w:rPr>
      </w:pPr>
    </w:p>
    <w:p w:rsidR="00215F0B" w:rsidRPr="00215F0B" w:rsidRDefault="00215F0B" w:rsidP="00215F0B">
      <w:pPr>
        <w:widowControl w:val="0"/>
        <w:spacing w:line="240" w:lineRule="auto"/>
        <w:rPr>
          <w:rFonts w:eastAsia="Times New Roman" w:cs="Times New Roman"/>
          <w:b/>
          <w:sz w:val="19"/>
          <w:szCs w:val="19"/>
          <w:lang w:val="en"/>
        </w:rPr>
      </w:pPr>
      <w:r w:rsidRPr="00215F0B">
        <w:rPr>
          <w:rFonts w:eastAsia="Times New Roman" w:cs="Times New Roman"/>
          <w:b/>
          <w:sz w:val="19"/>
          <w:szCs w:val="19"/>
          <w:lang w:val="en"/>
        </w:rPr>
        <w:t>Table 6. Prevalence of Overweight, weight for height (% of children under 5)</w:t>
      </w:r>
    </w:p>
    <w:p w:rsidR="00215F0B" w:rsidRPr="00215F0B" w:rsidRDefault="00215F0B" w:rsidP="00215F0B">
      <w:pPr>
        <w:widowControl w:val="0"/>
        <w:spacing w:line="240" w:lineRule="auto"/>
        <w:rPr>
          <w:rFonts w:eastAsia="Times New Roman" w:cs="Times New Roman"/>
          <w:b/>
          <w:sz w:val="19"/>
          <w:szCs w:val="19"/>
          <w:lang w:val="en"/>
        </w:rPr>
      </w:pPr>
    </w:p>
    <w:tbl>
      <w:tblPr>
        <w:tblW w:w="4670" w:type="dxa"/>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Look w:val="0600" w:firstRow="0" w:lastRow="0" w:firstColumn="0" w:lastColumn="0" w:noHBand="1" w:noVBand="1"/>
      </w:tblPr>
      <w:tblGrid>
        <w:gridCol w:w="1430"/>
        <w:gridCol w:w="990"/>
        <w:gridCol w:w="810"/>
        <w:gridCol w:w="630"/>
        <w:gridCol w:w="810"/>
      </w:tblGrid>
      <w:tr w:rsidR="00215F0B" w:rsidRPr="00215F0B" w:rsidTr="00215F0B">
        <w:tc>
          <w:tcPr>
            <w:tcW w:w="1430" w:type="dxa"/>
            <w:shd w:val="clear" w:color="auto" w:fill="auto"/>
            <w:tcMar>
              <w:top w:w="100" w:type="dxa"/>
              <w:left w:w="100" w:type="dxa"/>
              <w:bottom w:w="100" w:type="dxa"/>
              <w:right w:w="100" w:type="dxa"/>
            </w:tcMar>
          </w:tcPr>
          <w:p w:rsidR="00215F0B" w:rsidRPr="00215F0B" w:rsidRDefault="00215F0B" w:rsidP="00215F0B">
            <w:pPr>
              <w:widowControl w:val="0"/>
              <w:spacing w:line="240" w:lineRule="auto"/>
              <w:rPr>
                <w:rFonts w:eastAsia="Times New Roman" w:cs="Times New Roman"/>
                <w:b/>
                <w:bCs/>
                <w:sz w:val="19"/>
                <w:szCs w:val="19"/>
                <w:lang w:val="en"/>
              </w:rPr>
            </w:pPr>
            <w:r w:rsidRPr="00215F0B">
              <w:rPr>
                <w:rFonts w:eastAsia="Times New Roman" w:cs="Times New Roman"/>
                <w:b/>
                <w:bCs/>
                <w:sz w:val="19"/>
                <w:szCs w:val="19"/>
                <w:lang w:val="en"/>
              </w:rPr>
              <w:t>Level</w:t>
            </w:r>
          </w:p>
        </w:tc>
        <w:tc>
          <w:tcPr>
            <w:tcW w:w="990" w:type="dxa"/>
            <w:shd w:val="clear" w:color="auto" w:fill="auto"/>
            <w:tcMar>
              <w:top w:w="100" w:type="dxa"/>
              <w:left w:w="100" w:type="dxa"/>
              <w:bottom w:w="100" w:type="dxa"/>
              <w:right w:w="100" w:type="dxa"/>
            </w:tcMar>
          </w:tcPr>
          <w:p w:rsidR="00215F0B" w:rsidRPr="00215F0B" w:rsidRDefault="00215F0B" w:rsidP="00215F0B">
            <w:pPr>
              <w:widowControl w:val="0"/>
              <w:spacing w:line="240" w:lineRule="auto"/>
              <w:rPr>
                <w:rFonts w:eastAsia="Times New Roman" w:cs="Times New Roman"/>
                <w:sz w:val="19"/>
                <w:szCs w:val="19"/>
                <w:lang w:val="en"/>
              </w:rPr>
            </w:pPr>
            <w:r w:rsidRPr="00215F0B">
              <w:rPr>
                <w:rFonts w:eastAsia="Times New Roman" w:cs="Times New Roman"/>
                <w:sz w:val="19"/>
                <w:szCs w:val="19"/>
                <w:lang w:val="en"/>
              </w:rPr>
              <w:t>2015</w:t>
            </w:r>
          </w:p>
        </w:tc>
        <w:tc>
          <w:tcPr>
            <w:tcW w:w="810" w:type="dxa"/>
            <w:shd w:val="clear" w:color="auto" w:fill="auto"/>
            <w:tcMar>
              <w:top w:w="100" w:type="dxa"/>
              <w:left w:w="100" w:type="dxa"/>
              <w:bottom w:w="100" w:type="dxa"/>
              <w:right w:w="100" w:type="dxa"/>
            </w:tcMar>
          </w:tcPr>
          <w:p w:rsidR="00215F0B" w:rsidRPr="00215F0B" w:rsidRDefault="00215F0B" w:rsidP="00215F0B">
            <w:pPr>
              <w:widowControl w:val="0"/>
              <w:spacing w:line="240" w:lineRule="auto"/>
              <w:rPr>
                <w:rFonts w:eastAsia="Times New Roman" w:cs="Times New Roman"/>
                <w:sz w:val="19"/>
                <w:szCs w:val="19"/>
                <w:lang w:val="en"/>
              </w:rPr>
            </w:pPr>
            <w:r w:rsidRPr="00215F0B">
              <w:rPr>
                <w:rFonts w:eastAsia="Times New Roman" w:cs="Times New Roman"/>
                <w:sz w:val="19"/>
                <w:szCs w:val="19"/>
                <w:lang w:val="en"/>
              </w:rPr>
              <w:t>2016</w:t>
            </w:r>
          </w:p>
        </w:tc>
        <w:tc>
          <w:tcPr>
            <w:tcW w:w="630" w:type="dxa"/>
          </w:tcPr>
          <w:p w:rsidR="00215F0B" w:rsidRPr="00215F0B" w:rsidRDefault="00215F0B" w:rsidP="00215F0B">
            <w:pPr>
              <w:widowControl w:val="0"/>
              <w:spacing w:line="240" w:lineRule="auto"/>
              <w:rPr>
                <w:rFonts w:eastAsia="Times New Roman" w:cs="Times New Roman"/>
                <w:sz w:val="19"/>
                <w:szCs w:val="19"/>
                <w:lang w:val="en"/>
              </w:rPr>
            </w:pPr>
            <w:r w:rsidRPr="00215F0B">
              <w:rPr>
                <w:rFonts w:eastAsia="Times New Roman" w:cs="Times New Roman"/>
                <w:sz w:val="19"/>
                <w:szCs w:val="19"/>
                <w:lang w:val="en"/>
              </w:rPr>
              <w:t>2017</w:t>
            </w:r>
          </w:p>
        </w:tc>
        <w:tc>
          <w:tcPr>
            <w:tcW w:w="810" w:type="dxa"/>
          </w:tcPr>
          <w:p w:rsidR="00215F0B" w:rsidRPr="00215F0B" w:rsidRDefault="00215F0B" w:rsidP="00215F0B">
            <w:pPr>
              <w:widowControl w:val="0"/>
              <w:spacing w:line="240" w:lineRule="auto"/>
              <w:rPr>
                <w:rFonts w:eastAsia="Times New Roman" w:cs="Times New Roman"/>
                <w:sz w:val="19"/>
                <w:szCs w:val="19"/>
                <w:lang w:val="en"/>
              </w:rPr>
            </w:pPr>
            <w:r w:rsidRPr="00215F0B">
              <w:rPr>
                <w:rFonts w:eastAsia="Times New Roman" w:cs="Times New Roman"/>
                <w:sz w:val="19"/>
                <w:szCs w:val="19"/>
                <w:lang w:val="en"/>
              </w:rPr>
              <w:t>2018</w:t>
            </w:r>
          </w:p>
        </w:tc>
      </w:tr>
      <w:tr w:rsidR="00215F0B" w:rsidRPr="00215F0B" w:rsidTr="00215F0B">
        <w:tc>
          <w:tcPr>
            <w:tcW w:w="1430" w:type="dxa"/>
            <w:shd w:val="clear" w:color="auto" w:fill="auto"/>
            <w:tcMar>
              <w:top w:w="100" w:type="dxa"/>
              <w:left w:w="100" w:type="dxa"/>
              <w:bottom w:w="100" w:type="dxa"/>
              <w:right w:w="100" w:type="dxa"/>
            </w:tcMar>
          </w:tcPr>
          <w:p w:rsidR="00215F0B" w:rsidRPr="00215F0B" w:rsidRDefault="00215F0B" w:rsidP="00215F0B">
            <w:pPr>
              <w:widowControl w:val="0"/>
              <w:spacing w:line="240" w:lineRule="auto"/>
              <w:rPr>
                <w:rFonts w:eastAsia="Times New Roman" w:cs="Times New Roman"/>
                <w:sz w:val="19"/>
                <w:szCs w:val="19"/>
                <w:lang w:val="en"/>
              </w:rPr>
            </w:pPr>
            <w:r w:rsidRPr="00215F0B">
              <w:rPr>
                <w:rFonts w:eastAsia="Times New Roman" w:cs="Times New Roman"/>
                <w:sz w:val="19"/>
                <w:szCs w:val="19"/>
                <w:lang w:val="en"/>
              </w:rPr>
              <w:t>World Level</w:t>
            </w:r>
          </w:p>
        </w:tc>
        <w:tc>
          <w:tcPr>
            <w:tcW w:w="990" w:type="dxa"/>
            <w:shd w:val="clear" w:color="auto" w:fill="auto"/>
            <w:tcMar>
              <w:top w:w="100" w:type="dxa"/>
              <w:left w:w="100" w:type="dxa"/>
              <w:bottom w:w="100" w:type="dxa"/>
              <w:right w:w="100" w:type="dxa"/>
            </w:tcMar>
          </w:tcPr>
          <w:p w:rsidR="00215F0B" w:rsidRPr="00215F0B" w:rsidRDefault="00215F0B" w:rsidP="00215F0B">
            <w:pPr>
              <w:widowControl w:val="0"/>
              <w:spacing w:line="240" w:lineRule="auto"/>
              <w:rPr>
                <w:rFonts w:eastAsia="Times New Roman" w:cs="Times New Roman"/>
                <w:sz w:val="19"/>
                <w:szCs w:val="19"/>
                <w:lang w:val="en"/>
              </w:rPr>
            </w:pPr>
            <w:r w:rsidRPr="00215F0B">
              <w:rPr>
                <w:rFonts w:eastAsia="Times New Roman" w:cs="Times New Roman"/>
                <w:sz w:val="19"/>
                <w:szCs w:val="19"/>
                <w:lang w:val="en"/>
              </w:rPr>
              <w:t>5.70</w:t>
            </w:r>
          </w:p>
        </w:tc>
        <w:tc>
          <w:tcPr>
            <w:tcW w:w="810" w:type="dxa"/>
            <w:shd w:val="clear" w:color="auto" w:fill="auto"/>
            <w:tcMar>
              <w:top w:w="100" w:type="dxa"/>
              <w:left w:w="100" w:type="dxa"/>
              <w:bottom w:w="100" w:type="dxa"/>
              <w:right w:w="100" w:type="dxa"/>
            </w:tcMar>
          </w:tcPr>
          <w:p w:rsidR="00215F0B" w:rsidRPr="00215F0B" w:rsidRDefault="00215F0B" w:rsidP="00215F0B">
            <w:pPr>
              <w:widowControl w:val="0"/>
              <w:spacing w:line="240" w:lineRule="auto"/>
              <w:rPr>
                <w:rFonts w:eastAsia="Times New Roman" w:cs="Times New Roman"/>
                <w:sz w:val="19"/>
                <w:szCs w:val="19"/>
                <w:lang w:val="en"/>
              </w:rPr>
            </w:pPr>
            <w:r w:rsidRPr="00215F0B">
              <w:rPr>
                <w:rFonts w:eastAsia="Times New Roman" w:cs="Times New Roman"/>
                <w:sz w:val="19"/>
                <w:szCs w:val="19"/>
                <w:lang w:val="en"/>
              </w:rPr>
              <w:t>5.80</w:t>
            </w:r>
          </w:p>
        </w:tc>
        <w:tc>
          <w:tcPr>
            <w:tcW w:w="630" w:type="dxa"/>
          </w:tcPr>
          <w:p w:rsidR="00215F0B" w:rsidRPr="00215F0B" w:rsidRDefault="00215F0B" w:rsidP="00215F0B">
            <w:pPr>
              <w:widowControl w:val="0"/>
              <w:spacing w:line="240" w:lineRule="auto"/>
              <w:rPr>
                <w:rFonts w:eastAsia="Times New Roman" w:cs="Times New Roman"/>
                <w:sz w:val="19"/>
                <w:szCs w:val="19"/>
                <w:lang w:val="en"/>
              </w:rPr>
            </w:pPr>
            <w:r w:rsidRPr="00215F0B">
              <w:rPr>
                <w:rFonts w:eastAsia="Times New Roman" w:cs="Times New Roman"/>
                <w:sz w:val="19"/>
                <w:szCs w:val="19"/>
                <w:lang w:val="en"/>
              </w:rPr>
              <w:t>5.80</w:t>
            </w:r>
          </w:p>
        </w:tc>
        <w:tc>
          <w:tcPr>
            <w:tcW w:w="810" w:type="dxa"/>
          </w:tcPr>
          <w:p w:rsidR="00215F0B" w:rsidRPr="00215F0B" w:rsidRDefault="00215F0B" w:rsidP="00215F0B">
            <w:pPr>
              <w:widowControl w:val="0"/>
              <w:spacing w:line="240" w:lineRule="auto"/>
              <w:rPr>
                <w:rFonts w:eastAsia="Times New Roman" w:cs="Times New Roman"/>
                <w:sz w:val="19"/>
                <w:szCs w:val="19"/>
                <w:lang w:val="en"/>
              </w:rPr>
            </w:pPr>
            <w:r w:rsidRPr="00215F0B">
              <w:rPr>
                <w:rFonts w:eastAsia="Times New Roman" w:cs="Times New Roman"/>
                <w:sz w:val="19"/>
                <w:szCs w:val="19"/>
                <w:lang w:val="en"/>
              </w:rPr>
              <w:t>5.90</w:t>
            </w:r>
          </w:p>
        </w:tc>
      </w:tr>
      <w:tr w:rsidR="00215F0B" w:rsidRPr="00215F0B" w:rsidTr="00215F0B">
        <w:tc>
          <w:tcPr>
            <w:tcW w:w="1430" w:type="dxa"/>
            <w:shd w:val="clear" w:color="auto" w:fill="auto"/>
            <w:tcMar>
              <w:top w:w="100" w:type="dxa"/>
              <w:left w:w="100" w:type="dxa"/>
              <w:bottom w:w="100" w:type="dxa"/>
              <w:right w:w="100" w:type="dxa"/>
            </w:tcMar>
          </w:tcPr>
          <w:p w:rsidR="00215F0B" w:rsidRPr="00215F0B" w:rsidRDefault="00215F0B" w:rsidP="00215F0B">
            <w:pPr>
              <w:widowControl w:val="0"/>
              <w:spacing w:line="240" w:lineRule="auto"/>
              <w:rPr>
                <w:rFonts w:eastAsia="Times New Roman" w:cs="Times New Roman"/>
                <w:sz w:val="19"/>
                <w:szCs w:val="19"/>
                <w:lang w:val="en"/>
              </w:rPr>
            </w:pPr>
            <w:r w:rsidRPr="00215F0B">
              <w:rPr>
                <w:rFonts w:eastAsia="Times New Roman" w:cs="Times New Roman"/>
                <w:sz w:val="19"/>
                <w:szCs w:val="19"/>
                <w:lang w:val="en"/>
              </w:rPr>
              <w:t>Regional (SSA)</w:t>
            </w:r>
          </w:p>
        </w:tc>
        <w:tc>
          <w:tcPr>
            <w:tcW w:w="990" w:type="dxa"/>
            <w:shd w:val="clear" w:color="auto" w:fill="auto"/>
            <w:tcMar>
              <w:top w:w="100" w:type="dxa"/>
              <w:left w:w="100" w:type="dxa"/>
              <w:bottom w:w="100" w:type="dxa"/>
              <w:right w:w="100" w:type="dxa"/>
            </w:tcMar>
          </w:tcPr>
          <w:p w:rsidR="00215F0B" w:rsidRPr="00215F0B" w:rsidRDefault="00215F0B" w:rsidP="00215F0B">
            <w:pPr>
              <w:widowControl w:val="0"/>
              <w:spacing w:line="240" w:lineRule="auto"/>
              <w:rPr>
                <w:rFonts w:eastAsia="Times New Roman" w:cs="Times New Roman"/>
                <w:sz w:val="19"/>
                <w:szCs w:val="19"/>
                <w:lang w:val="en"/>
              </w:rPr>
            </w:pPr>
            <w:r w:rsidRPr="00215F0B">
              <w:rPr>
                <w:rFonts w:eastAsia="Times New Roman" w:cs="Times New Roman"/>
                <w:sz w:val="19"/>
                <w:szCs w:val="19"/>
                <w:lang w:val="en"/>
              </w:rPr>
              <w:t>3.9</w:t>
            </w:r>
          </w:p>
        </w:tc>
        <w:tc>
          <w:tcPr>
            <w:tcW w:w="810" w:type="dxa"/>
            <w:shd w:val="clear" w:color="auto" w:fill="auto"/>
            <w:tcMar>
              <w:top w:w="100" w:type="dxa"/>
              <w:left w:w="100" w:type="dxa"/>
              <w:bottom w:w="100" w:type="dxa"/>
              <w:right w:w="100" w:type="dxa"/>
            </w:tcMar>
          </w:tcPr>
          <w:p w:rsidR="00215F0B" w:rsidRPr="00215F0B" w:rsidRDefault="00215F0B" w:rsidP="00215F0B">
            <w:pPr>
              <w:widowControl w:val="0"/>
              <w:spacing w:line="240" w:lineRule="auto"/>
              <w:rPr>
                <w:rFonts w:eastAsia="Times New Roman" w:cs="Times New Roman"/>
                <w:sz w:val="19"/>
                <w:szCs w:val="19"/>
                <w:lang w:val="en"/>
              </w:rPr>
            </w:pPr>
            <w:r w:rsidRPr="00215F0B">
              <w:rPr>
                <w:rFonts w:eastAsia="Times New Roman" w:cs="Times New Roman"/>
                <w:sz w:val="19"/>
                <w:szCs w:val="19"/>
                <w:lang w:val="en"/>
              </w:rPr>
              <w:t>3.9</w:t>
            </w:r>
          </w:p>
        </w:tc>
        <w:tc>
          <w:tcPr>
            <w:tcW w:w="630" w:type="dxa"/>
          </w:tcPr>
          <w:p w:rsidR="00215F0B" w:rsidRPr="00215F0B" w:rsidRDefault="00215F0B" w:rsidP="00215F0B">
            <w:pPr>
              <w:widowControl w:val="0"/>
              <w:spacing w:line="240" w:lineRule="auto"/>
              <w:rPr>
                <w:rFonts w:eastAsia="Times New Roman" w:cs="Times New Roman"/>
                <w:sz w:val="19"/>
                <w:szCs w:val="19"/>
                <w:lang w:val="en"/>
              </w:rPr>
            </w:pPr>
            <w:r w:rsidRPr="00215F0B">
              <w:rPr>
                <w:rFonts w:eastAsia="Times New Roman" w:cs="Times New Roman"/>
                <w:sz w:val="19"/>
                <w:szCs w:val="19"/>
                <w:lang w:val="en"/>
              </w:rPr>
              <w:t>3.9</w:t>
            </w:r>
          </w:p>
        </w:tc>
        <w:tc>
          <w:tcPr>
            <w:tcW w:w="810" w:type="dxa"/>
          </w:tcPr>
          <w:p w:rsidR="00215F0B" w:rsidRPr="00215F0B" w:rsidRDefault="00215F0B" w:rsidP="00215F0B">
            <w:pPr>
              <w:widowControl w:val="0"/>
              <w:spacing w:line="240" w:lineRule="auto"/>
              <w:rPr>
                <w:rFonts w:eastAsia="Times New Roman" w:cs="Times New Roman"/>
                <w:sz w:val="19"/>
                <w:szCs w:val="19"/>
                <w:lang w:val="en"/>
              </w:rPr>
            </w:pPr>
            <w:r w:rsidRPr="00215F0B">
              <w:rPr>
                <w:rFonts w:eastAsia="Times New Roman" w:cs="Times New Roman"/>
                <w:sz w:val="19"/>
                <w:szCs w:val="19"/>
                <w:lang w:val="en"/>
              </w:rPr>
              <w:t>3.9</w:t>
            </w:r>
          </w:p>
        </w:tc>
      </w:tr>
      <w:tr w:rsidR="00215F0B" w:rsidRPr="00215F0B" w:rsidTr="00215F0B">
        <w:tc>
          <w:tcPr>
            <w:tcW w:w="1430" w:type="dxa"/>
            <w:shd w:val="clear" w:color="auto" w:fill="auto"/>
            <w:tcMar>
              <w:top w:w="100" w:type="dxa"/>
              <w:left w:w="100" w:type="dxa"/>
              <w:bottom w:w="100" w:type="dxa"/>
              <w:right w:w="100" w:type="dxa"/>
            </w:tcMar>
          </w:tcPr>
          <w:p w:rsidR="00215F0B" w:rsidRPr="00215F0B" w:rsidRDefault="00215F0B" w:rsidP="00215F0B">
            <w:pPr>
              <w:widowControl w:val="0"/>
              <w:spacing w:line="240" w:lineRule="auto"/>
              <w:rPr>
                <w:rFonts w:eastAsia="Times New Roman" w:cs="Times New Roman"/>
                <w:sz w:val="19"/>
                <w:szCs w:val="19"/>
                <w:lang w:val="en"/>
              </w:rPr>
            </w:pPr>
            <w:r w:rsidRPr="00215F0B">
              <w:rPr>
                <w:rFonts w:eastAsia="Times New Roman" w:cs="Times New Roman"/>
                <w:sz w:val="19"/>
                <w:szCs w:val="19"/>
                <w:lang w:val="en"/>
              </w:rPr>
              <w:t>Eastern Africa</w:t>
            </w:r>
          </w:p>
        </w:tc>
        <w:tc>
          <w:tcPr>
            <w:tcW w:w="990" w:type="dxa"/>
            <w:shd w:val="clear" w:color="auto" w:fill="auto"/>
            <w:tcMar>
              <w:top w:w="100" w:type="dxa"/>
              <w:left w:w="100" w:type="dxa"/>
              <w:bottom w:w="100" w:type="dxa"/>
              <w:right w:w="100" w:type="dxa"/>
            </w:tcMar>
          </w:tcPr>
          <w:p w:rsidR="00215F0B" w:rsidRPr="00215F0B" w:rsidRDefault="00215F0B" w:rsidP="00215F0B">
            <w:pPr>
              <w:widowControl w:val="0"/>
              <w:spacing w:line="240" w:lineRule="auto"/>
              <w:rPr>
                <w:rFonts w:eastAsia="Times New Roman" w:cs="Times New Roman"/>
                <w:sz w:val="19"/>
                <w:szCs w:val="19"/>
                <w:lang w:val="en"/>
              </w:rPr>
            </w:pPr>
            <w:r w:rsidRPr="00215F0B">
              <w:rPr>
                <w:rFonts w:eastAsia="Times New Roman" w:cs="Times New Roman"/>
                <w:sz w:val="19"/>
                <w:szCs w:val="19"/>
                <w:lang w:val="en"/>
              </w:rPr>
              <w:t>4.4</w:t>
            </w:r>
          </w:p>
        </w:tc>
        <w:tc>
          <w:tcPr>
            <w:tcW w:w="810" w:type="dxa"/>
            <w:shd w:val="clear" w:color="auto" w:fill="auto"/>
            <w:tcMar>
              <w:top w:w="100" w:type="dxa"/>
              <w:left w:w="100" w:type="dxa"/>
              <w:bottom w:w="100" w:type="dxa"/>
              <w:right w:w="100" w:type="dxa"/>
            </w:tcMar>
          </w:tcPr>
          <w:p w:rsidR="00215F0B" w:rsidRPr="00215F0B" w:rsidRDefault="00215F0B" w:rsidP="00215F0B">
            <w:pPr>
              <w:widowControl w:val="0"/>
              <w:spacing w:line="240" w:lineRule="auto"/>
              <w:rPr>
                <w:rFonts w:eastAsia="Times New Roman" w:cs="Times New Roman"/>
                <w:sz w:val="19"/>
                <w:szCs w:val="19"/>
                <w:lang w:val="en"/>
              </w:rPr>
            </w:pPr>
            <w:r w:rsidRPr="00215F0B">
              <w:rPr>
                <w:rFonts w:eastAsia="Times New Roman" w:cs="Times New Roman"/>
                <w:sz w:val="19"/>
                <w:szCs w:val="19"/>
                <w:lang w:val="en"/>
              </w:rPr>
              <w:t>4.3</w:t>
            </w:r>
          </w:p>
        </w:tc>
        <w:tc>
          <w:tcPr>
            <w:tcW w:w="630" w:type="dxa"/>
          </w:tcPr>
          <w:p w:rsidR="00215F0B" w:rsidRPr="00215F0B" w:rsidRDefault="00215F0B" w:rsidP="00215F0B">
            <w:pPr>
              <w:widowControl w:val="0"/>
              <w:spacing w:line="240" w:lineRule="auto"/>
              <w:rPr>
                <w:rFonts w:eastAsia="Times New Roman" w:cs="Times New Roman"/>
                <w:sz w:val="19"/>
                <w:szCs w:val="19"/>
                <w:lang w:val="en"/>
              </w:rPr>
            </w:pPr>
            <w:r w:rsidRPr="00215F0B">
              <w:rPr>
                <w:rFonts w:eastAsia="Times New Roman" w:cs="Times New Roman"/>
                <w:sz w:val="19"/>
                <w:szCs w:val="19"/>
                <w:lang w:val="en"/>
              </w:rPr>
              <w:t>4.3</w:t>
            </w:r>
          </w:p>
        </w:tc>
        <w:tc>
          <w:tcPr>
            <w:tcW w:w="810" w:type="dxa"/>
          </w:tcPr>
          <w:p w:rsidR="00215F0B" w:rsidRPr="00215F0B" w:rsidRDefault="00215F0B" w:rsidP="00215F0B">
            <w:pPr>
              <w:widowControl w:val="0"/>
              <w:spacing w:line="240" w:lineRule="auto"/>
              <w:rPr>
                <w:rFonts w:eastAsia="Times New Roman" w:cs="Times New Roman"/>
                <w:sz w:val="19"/>
                <w:szCs w:val="19"/>
                <w:lang w:val="en"/>
              </w:rPr>
            </w:pPr>
            <w:r w:rsidRPr="00215F0B">
              <w:rPr>
                <w:rFonts w:eastAsia="Times New Roman" w:cs="Times New Roman"/>
                <w:sz w:val="19"/>
                <w:szCs w:val="19"/>
                <w:lang w:val="en"/>
              </w:rPr>
              <w:t>4.3</w:t>
            </w:r>
          </w:p>
        </w:tc>
      </w:tr>
      <w:tr w:rsidR="00215F0B" w:rsidRPr="00215F0B" w:rsidTr="00215F0B">
        <w:tc>
          <w:tcPr>
            <w:tcW w:w="1430" w:type="dxa"/>
            <w:shd w:val="clear" w:color="auto" w:fill="auto"/>
            <w:tcMar>
              <w:top w:w="100" w:type="dxa"/>
              <w:left w:w="100" w:type="dxa"/>
              <w:bottom w:w="100" w:type="dxa"/>
              <w:right w:w="100" w:type="dxa"/>
            </w:tcMar>
          </w:tcPr>
          <w:p w:rsidR="00215F0B" w:rsidRPr="00215F0B" w:rsidRDefault="00215F0B" w:rsidP="00215F0B">
            <w:pPr>
              <w:widowControl w:val="0"/>
              <w:spacing w:line="240" w:lineRule="auto"/>
              <w:rPr>
                <w:rFonts w:eastAsia="Times New Roman" w:cs="Times New Roman"/>
                <w:sz w:val="19"/>
                <w:szCs w:val="19"/>
                <w:lang w:val="en"/>
              </w:rPr>
            </w:pPr>
            <w:r w:rsidRPr="00215F0B">
              <w:rPr>
                <w:rFonts w:eastAsia="Times New Roman" w:cs="Times New Roman"/>
                <w:sz w:val="19"/>
                <w:szCs w:val="19"/>
                <w:lang w:val="en"/>
              </w:rPr>
              <w:t>Middle  Africa</w:t>
            </w:r>
          </w:p>
        </w:tc>
        <w:tc>
          <w:tcPr>
            <w:tcW w:w="990" w:type="dxa"/>
            <w:shd w:val="clear" w:color="auto" w:fill="auto"/>
            <w:tcMar>
              <w:top w:w="100" w:type="dxa"/>
              <w:left w:w="100" w:type="dxa"/>
              <w:bottom w:w="100" w:type="dxa"/>
              <w:right w:w="100" w:type="dxa"/>
            </w:tcMar>
            <w:vAlign w:val="bottom"/>
          </w:tcPr>
          <w:p w:rsidR="00215F0B" w:rsidRPr="00215F0B" w:rsidRDefault="00215F0B" w:rsidP="00215F0B">
            <w:pPr>
              <w:widowControl w:val="0"/>
              <w:spacing w:line="240" w:lineRule="auto"/>
              <w:rPr>
                <w:rFonts w:eastAsia="Times New Roman" w:cs="Times New Roman"/>
                <w:sz w:val="19"/>
                <w:szCs w:val="19"/>
                <w:lang w:val="en"/>
              </w:rPr>
            </w:pPr>
            <w:r w:rsidRPr="00215F0B">
              <w:rPr>
                <w:rFonts w:eastAsia="Times New Roman" w:cs="Times New Roman"/>
                <w:sz w:val="19"/>
                <w:szCs w:val="19"/>
                <w:lang w:val="en"/>
              </w:rPr>
              <w:t>4.6</w:t>
            </w:r>
          </w:p>
        </w:tc>
        <w:tc>
          <w:tcPr>
            <w:tcW w:w="810" w:type="dxa"/>
            <w:shd w:val="clear" w:color="auto" w:fill="auto"/>
            <w:tcMar>
              <w:top w:w="100" w:type="dxa"/>
              <w:left w:w="100" w:type="dxa"/>
              <w:bottom w:w="100" w:type="dxa"/>
              <w:right w:w="100" w:type="dxa"/>
            </w:tcMar>
            <w:vAlign w:val="bottom"/>
          </w:tcPr>
          <w:p w:rsidR="00215F0B" w:rsidRPr="00215F0B" w:rsidRDefault="00215F0B" w:rsidP="00215F0B">
            <w:pPr>
              <w:widowControl w:val="0"/>
              <w:spacing w:line="240" w:lineRule="auto"/>
              <w:rPr>
                <w:rFonts w:eastAsia="Times New Roman" w:cs="Times New Roman"/>
                <w:sz w:val="19"/>
                <w:szCs w:val="19"/>
                <w:lang w:val="en"/>
              </w:rPr>
            </w:pPr>
            <w:r w:rsidRPr="00215F0B">
              <w:rPr>
                <w:rFonts w:eastAsia="Times New Roman" w:cs="Times New Roman"/>
                <w:sz w:val="19"/>
                <w:szCs w:val="19"/>
                <w:lang w:val="en"/>
              </w:rPr>
              <w:t>4.6</w:t>
            </w:r>
          </w:p>
        </w:tc>
        <w:tc>
          <w:tcPr>
            <w:tcW w:w="630" w:type="dxa"/>
            <w:vAlign w:val="bottom"/>
          </w:tcPr>
          <w:p w:rsidR="00215F0B" w:rsidRPr="00215F0B" w:rsidRDefault="00215F0B" w:rsidP="00215F0B">
            <w:pPr>
              <w:widowControl w:val="0"/>
              <w:spacing w:line="240" w:lineRule="auto"/>
              <w:rPr>
                <w:rFonts w:eastAsia="Times New Roman" w:cs="Times New Roman"/>
                <w:sz w:val="19"/>
                <w:szCs w:val="19"/>
                <w:lang w:val="en"/>
              </w:rPr>
            </w:pPr>
            <w:r w:rsidRPr="00215F0B">
              <w:rPr>
                <w:rFonts w:eastAsia="Times New Roman" w:cs="Times New Roman"/>
                <w:sz w:val="19"/>
                <w:szCs w:val="19"/>
                <w:lang w:val="en"/>
              </w:rPr>
              <w:t>4.6</w:t>
            </w:r>
          </w:p>
        </w:tc>
        <w:tc>
          <w:tcPr>
            <w:tcW w:w="810" w:type="dxa"/>
            <w:vAlign w:val="bottom"/>
          </w:tcPr>
          <w:p w:rsidR="00215F0B" w:rsidRPr="00215F0B" w:rsidRDefault="00215F0B" w:rsidP="00215F0B">
            <w:pPr>
              <w:widowControl w:val="0"/>
              <w:spacing w:line="240" w:lineRule="auto"/>
              <w:rPr>
                <w:rFonts w:eastAsia="Times New Roman" w:cs="Times New Roman"/>
                <w:sz w:val="19"/>
                <w:szCs w:val="19"/>
                <w:lang w:val="en"/>
              </w:rPr>
            </w:pPr>
            <w:r w:rsidRPr="00215F0B">
              <w:rPr>
                <w:rFonts w:eastAsia="Times New Roman" w:cs="Times New Roman"/>
                <w:sz w:val="19"/>
                <w:szCs w:val="19"/>
                <w:lang w:val="en"/>
              </w:rPr>
              <w:t>4.6</w:t>
            </w:r>
          </w:p>
        </w:tc>
      </w:tr>
      <w:tr w:rsidR="00215F0B" w:rsidRPr="00215F0B" w:rsidTr="00215F0B">
        <w:tc>
          <w:tcPr>
            <w:tcW w:w="1430" w:type="dxa"/>
            <w:shd w:val="clear" w:color="auto" w:fill="auto"/>
            <w:tcMar>
              <w:top w:w="100" w:type="dxa"/>
              <w:left w:w="100" w:type="dxa"/>
              <w:bottom w:w="100" w:type="dxa"/>
              <w:right w:w="100" w:type="dxa"/>
            </w:tcMar>
          </w:tcPr>
          <w:p w:rsidR="00215F0B" w:rsidRPr="00215F0B" w:rsidRDefault="00215F0B" w:rsidP="00215F0B">
            <w:pPr>
              <w:widowControl w:val="0"/>
              <w:spacing w:line="240" w:lineRule="auto"/>
              <w:rPr>
                <w:rFonts w:eastAsia="Times New Roman" w:cs="Times New Roman"/>
                <w:sz w:val="19"/>
                <w:szCs w:val="19"/>
                <w:lang w:val="en"/>
              </w:rPr>
            </w:pPr>
            <w:r w:rsidRPr="00215F0B">
              <w:rPr>
                <w:rFonts w:eastAsia="Times New Roman" w:cs="Times New Roman"/>
                <w:sz w:val="19"/>
                <w:szCs w:val="19"/>
                <w:lang w:val="en"/>
              </w:rPr>
              <w:t>Southern Africa</w:t>
            </w:r>
          </w:p>
        </w:tc>
        <w:tc>
          <w:tcPr>
            <w:tcW w:w="990" w:type="dxa"/>
            <w:shd w:val="clear" w:color="auto" w:fill="auto"/>
            <w:tcMar>
              <w:top w:w="100" w:type="dxa"/>
              <w:left w:w="100" w:type="dxa"/>
              <w:bottom w:w="100" w:type="dxa"/>
              <w:right w:w="100" w:type="dxa"/>
            </w:tcMar>
            <w:vAlign w:val="bottom"/>
          </w:tcPr>
          <w:p w:rsidR="00215F0B" w:rsidRPr="00215F0B" w:rsidRDefault="00215F0B" w:rsidP="00215F0B">
            <w:pPr>
              <w:widowControl w:val="0"/>
              <w:spacing w:line="240" w:lineRule="auto"/>
              <w:rPr>
                <w:rFonts w:eastAsia="Times New Roman" w:cs="Times New Roman"/>
                <w:sz w:val="19"/>
                <w:szCs w:val="19"/>
                <w:lang w:val="en"/>
              </w:rPr>
            </w:pPr>
            <w:r w:rsidRPr="00215F0B">
              <w:rPr>
                <w:rFonts w:eastAsia="Times New Roman" w:cs="Times New Roman"/>
                <w:sz w:val="19"/>
                <w:szCs w:val="19"/>
                <w:lang w:val="en"/>
              </w:rPr>
              <w:t>12.5</w:t>
            </w:r>
          </w:p>
        </w:tc>
        <w:tc>
          <w:tcPr>
            <w:tcW w:w="810" w:type="dxa"/>
            <w:shd w:val="clear" w:color="auto" w:fill="auto"/>
            <w:tcMar>
              <w:top w:w="100" w:type="dxa"/>
              <w:left w:w="100" w:type="dxa"/>
              <w:bottom w:w="100" w:type="dxa"/>
              <w:right w:w="100" w:type="dxa"/>
            </w:tcMar>
            <w:vAlign w:val="bottom"/>
          </w:tcPr>
          <w:p w:rsidR="00215F0B" w:rsidRPr="00215F0B" w:rsidRDefault="00215F0B" w:rsidP="00215F0B">
            <w:pPr>
              <w:widowControl w:val="0"/>
              <w:spacing w:line="240" w:lineRule="auto"/>
              <w:rPr>
                <w:rFonts w:eastAsia="Times New Roman" w:cs="Times New Roman"/>
                <w:sz w:val="19"/>
                <w:szCs w:val="19"/>
                <w:lang w:val="en"/>
              </w:rPr>
            </w:pPr>
            <w:r w:rsidRPr="00215F0B">
              <w:rPr>
                <w:rFonts w:eastAsia="Times New Roman" w:cs="Times New Roman"/>
                <w:sz w:val="19"/>
                <w:szCs w:val="19"/>
                <w:lang w:val="en"/>
              </w:rPr>
              <w:t>12.7</w:t>
            </w:r>
          </w:p>
        </w:tc>
        <w:tc>
          <w:tcPr>
            <w:tcW w:w="630" w:type="dxa"/>
            <w:vAlign w:val="bottom"/>
          </w:tcPr>
          <w:p w:rsidR="00215F0B" w:rsidRPr="00215F0B" w:rsidRDefault="00215F0B" w:rsidP="00215F0B">
            <w:pPr>
              <w:widowControl w:val="0"/>
              <w:spacing w:line="240" w:lineRule="auto"/>
              <w:rPr>
                <w:rFonts w:eastAsia="Times New Roman" w:cs="Times New Roman"/>
                <w:sz w:val="19"/>
                <w:szCs w:val="19"/>
                <w:lang w:val="en"/>
              </w:rPr>
            </w:pPr>
            <w:r w:rsidRPr="00215F0B">
              <w:rPr>
                <w:rFonts w:eastAsia="Times New Roman" w:cs="Times New Roman"/>
                <w:sz w:val="19"/>
                <w:szCs w:val="19"/>
                <w:lang w:val="en"/>
              </w:rPr>
              <w:t>12.8</w:t>
            </w:r>
          </w:p>
        </w:tc>
        <w:tc>
          <w:tcPr>
            <w:tcW w:w="810" w:type="dxa"/>
            <w:vAlign w:val="bottom"/>
          </w:tcPr>
          <w:p w:rsidR="00215F0B" w:rsidRPr="00215F0B" w:rsidRDefault="00215F0B" w:rsidP="00215F0B">
            <w:pPr>
              <w:widowControl w:val="0"/>
              <w:spacing w:line="240" w:lineRule="auto"/>
              <w:rPr>
                <w:rFonts w:eastAsia="Times New Roman" w:cs="Times New Roman"/>
                <w:sz w:val="19"/>
                <w:szCs w:val="19"/>
                <w:lang w:val="en"/>
              </w:rPr>
            </w:pPr>
            <w:r w:rsidRPr="00215F0B">
              <w:rPr>
                <w:rFonts w:eastAsia="Times New Roman" w:cs="Times New Roman"/>
                <w:sz w:val="19"/>
                <w:szCs w:val="19"/>
                <w:lang w:val="en"/>
              </w:rPr>
              <w:t>13.0</w:t>
            </w:r>
          </w:p>
        </w:tc>
      </w:tr>
      <w:tr w:rsidR="00215F0B" w:rsidRPr="00215F0B" w:rsidTr="00215F0B">
        <w:tc>
          <w:tcPr>
            <w:tcW w:w="1430" w:type="dxa"/>
            <w:shd w:val="clear" w:color="auto" w:fill="auto"/>
            <w:tcMar>
              <w:top w:w="100" w:type="dxa"/>
              <w:left w:w="100" w:type="dxa"/>
              <w:bottom w:w="100" w:type="dxa"/>
              <w:right w:w="100" w:type="dxa"/>
            </w:tcMar>
          </w:tcPr>
          <w:p w:rsidR="00215F0B" w:rsidRPr="00215F0B" w:rsidRDefault="00215F0B" w:rsidP="00215F0B">
            <w:pPr>
              <w:widowControl w:val="0"/>
              <w:spacing w:line="240" w:lineRule="auto"/>
              <w:rPr>
                <w:rFonts w:eastAsia="Times New Roman" w:cs="Times New Roman"/>
                <w:sz w:val="19"/>
                <w:szCs w:val="19"/>
                <w:lang w:val="en"/>
              </w:rPr>
            </w:pPr>
            <w:r w:rsidRPr="00215F0B">
              <w:rPr>
                <w:rFonts w:eastAsia="Times New Roman" w:cs="Times New Roman"/>
                <w:sz w:val="19"/>
                <w:szCs w:val="19"/>
                <w:lang w:val="en"/>
              </w:rPr>
              <w:t>Western Africa</w:t>
            </w:r>
          </w:p>
        </w:tc>
        <w:tc>
          <w:tcPr>
            <w:tcW w:w="990" w:type="dxa"/>
            <w:shd w:val="clear" w:color="auto" w:fill="auto"/>
            <w:tcMar>
              <w:top w:w="100" w:type="dxa"/>
              <w:left w:w="100" w:type="dxa"/>
              <w:bottom w:w="100" w:type="dxa"/>
              <w:right w:w="100" w:type="dxa"/>
            </w:tcMar>
            <w:vAlign w:val="bottom"/>
          </w:tcPr>
          <w:p w:rsidR="00215F0B" w:rsidRPr="00215F0B" w:rsidRDefault="00215F0B" w:rsidP="00215F0B">
            <w:pPr>
              <w:widowControl w:val="0"/>
              <w:spacing w:line="240" w:lineRule="auto"/>
              <w:rPr>
                <w:rFonts w:eastAsia="Times New Roman" w:cs="Times New Roman"/>
                <w:sz w:val="19"/>
                <w:szCs w:val="19"/>
                <w:lang w:val="en"/>
              </w:rPr>
            </w:pPr>
            <w:r w:rsidRPr="00215F0B">
              <w:rPr>
                <w:rFonts w:eastAsia="Times New Roman" w:cs="Times New Roman"/>
                <w:sz w:val="19"/>
                <w:szCs w:val="19"/>
                <w:lang w:val="en"/>
              </w:rPr>
              <w:t>2.2</w:t>
            </w:r>
          </w:p>
        </w:tc>
        <w:tc>
          <w:tcPr>
            <w:tcW w:w="810" w:type="dxa"/>
            <w:shd w:val="clear" w:color="auto" w:fill="auto"/>
            <w:tcMar>
              <w:top w:w="100" w:type="dxa"/>
              <w:left w:w="100" w:type="dxa"/>
              <w:bottom w:w="100" w:type="dxa"/>
              <w:right w:w="100" w:type="dxa"/>
            </w:tcMar>
            <w:vAlign w:val="bottom"/>
          </w:tcPr>
          <w:p w:rsidR="00215F0B" w:rsidRPr="00215F0B" w:rsidRDefault="00215F0B" w:rsidP="00215F0B">
            <w:pPr>
              <w:widowControl w:val="0"/>
              <w:spacing w:line="240" w:lineRule="auto"/>
              <w:rPr>
                <w:rFonts w:eastAsia="Times New Roman" w:cs="Times New Roman"/>
                <w:sz w:val="19"/>
                <w:szCs w:val="19"/>
                <w:lang w:val="en"/>
              </w:rPr>
            </w:pPr>
            <w:r w:rsidRPr="00215F0B">
              <w:rPr>
                <w:rFonts w:eastAsia="Times New Roman" w:cs="Times New Roman"/>
                <w:sz w:val="19"/>
                <w:szCs w:val="19"/>
                <w:lang w:val="en"/>
              </w:rPr>
              <w:t>2.2</w:t>
            </w:r>
          </w:p>
        </w:tc>
        <w:tc>
          <w:tcPr>
            <w:tcW w:w="630" w:type="dxa"/>
            <w:vAlign w:val="bottom"/>
          </w:tcPr>
          <w:p w:rsidR="00215F0B" w:rsidRPr="00215F0B" w:rsidRDefault="00215F0B" w:rsidP="00215F0B">
            <w:pPr>
              <w:widowControl w:val="0"/>
              <w:spacing w:line="240" w:lineRule="auto"/>
              <w:rPr>
                <w:rFonts w:eastAsia="Times New Roman" w:cs="Times New Roman"/>
                <w:sz w:val="19"/>
                <w:szCs w:val="19"/>
                <w:lang w:val="en"/>
              </w:rPr>
            </w:pPr>
            <w:r w:rsidRPr="00215F0B">
              <w:rPr>
                <w:rFonts w:eastAsia="Times New Roman" w:cs="Times New Roman"/>
                <w:sz w:val="19"/>
                <w:szCs w:val="19"/>
                <w:lang w:val="en"/>
              </w:rPr>
              <w:t>2.1</w:t>
            </w:r>
          </w:p>
        </w:tc>
        <w:tc>
          <w:tcPr>
            <w:tcW w:w="810" w:type="dxa"/>
            <w:vAlign w:val="bottom"/>
          </w:tcPr>
          <w:p w:rsidR="00215F0B" w:rsidRPr="00215F0B" w:rsidRDefault="00215F0B" w:rsidP="00215F0B">
            <w:pPr>
              <w:widowControl w:val="0"/>
              <w:spacing w:line="240" w:lineRule="auto"/>
              <w:rPr>
                <w:rFonts w:eastAsia="Times New Roman" w:cs="Times New Roman"/>
                <w:sz w:val="19"/>
                <w:szCs w:val="19"/>
                <w:lang w:val="en"/>
              </w:rPr>
            </w:pPr>
            <w:r w:rsidRPr="00215F0B">
              <w:rPr>
                <w:rFonts w:eastAsia="Times New Roman" w:cs="Times New Roman"/>
                <w:sz w:val="19"/>
                <w:szCs w:val="19"/>
                <w:lang w:val="en"/>
              </w:rPr>
              <w:t>2.1</w:t>
            </w:r>
          </w:p>
        </w:tc>
      </w:tr>
    </w:tbl>
    <w:p w:rsidR="00215F0B" w:rsidRPr="00215F0B" w:rsidRDefault="00215F0B" w:rsidP="00215F0B">
      <w:pPr>
        <w:pBdr>
          <w:bottom w:val="none" w:sz="0" w:space="1" w:color="000000"/>
        </w:pBdr>
        <w:spacing w:before="160" w:line="240" w:lineRule="auto"/>
        <w:ind w:right="160"/>
        <w:rPr>
          <w:rFonts w:eastAsia="Times New Roman" w:cs="Times New Roman"/>
          <w:sz w:val="19"/>
          <w:szCs w:val="19"/>
          <w:lang w:val="en"/>
        </w:rPr>
      </w:pPr>
      <w:r w:rsidRPr="00215F0B">
        <w:rPr>
          <w:rFonts w:eastAsia="Times New Roman" w:cs="Times New Roman"/>
          <w:sz w:val="19"/>
          <w:szCs w:val="19"/>
          <w:lang w:val="en"/>
        </w:rPr>
        <w:t xml:space="preserve">Source: UNICEF, WHO, World Bank Group Joint Malnutrition Estimates, March 2019 Edition. Overweight prevalence 1990-2018. </w:t>
      </w:r>
      <w:r w:rsidRPr="00215F0B">
        <w:rPr>
          <w:rFonts w:eastAsia="Times New Roman" w:cs="Times New Roman"/>
          <w:sz w:val="19"/>
          <w:szCs w:val="19"/>
          <w:lang w:val="en"/>
        </w:rPr>
        <w:fldChar w:fldCharType="begin" w:fldLock="1"/>
      </w:r>
      <w:r w:rsidRPr="00215F0B">
        <w:rPr>
          <w:rFonts w:eastAsia="Times New Roman" w:cs="Times New Roman"/>
          <w:sz w:val="19"/>
          <w:szCs w:val="19"/>
          <w:lang w:val="en"/>
        </w:rPr>
        <w:instrText>ADDIN CSL_CITATION {"citationItems":[{"id":"ITEM-1","itemData":{"URL":"https://data.unicef.org/topic/nutrition/malnutrition/","accessed":{"date-parts":[["2009","9","20"]]},"author":[{"dropping-particle":"","family":"UNICEF","given":"","non-dropping-particle":"","parse-names":false,"suffix":""},{"dropping-particle":"","family":"WHO","given":"","non-dropping-particle":"","parse-names":false,"suffix":""},{"dropping-particle":"","family":"World Bank","given":"","non-dropping-particle":"","parse-names":false,"suffix":""}],"container-title":"UNICEF Data: Monitoring the situation of children and women","id":"ITEM-1","issued":{"date-parts":[["2019"]]},"title":"Joint child malnutrition estimates (global and regional), April 2019 edition","type":"webpage"},"uris":["http://www.mendeley.com/documents/?uuid=273c2196-f364-401d-9ff3-015a9bf21d51"]}],"mendeley":{"formattedCitation":"(UNICEF, WHO and World Bank, 2019)","plainTextFormattedCitation":"(UNICEF, WHO and World Bank, 2019)","previouslyFormattedCitation":"(UNICEF, WHO and World Bank, 2019)"},"properties":{"noteIndex":0},"schema":"https://github.com/citation-style-language/schema/raw/master/csl-citation.json"}</w:instrText>
      </w:r>
      <w:r w:rsidRPr="00215F0B">
        <w:rPr>
          <w:rFonts w:eastAsia="Times New Roman" w:cs="Times New Roman"/>
          <w:sz w:val="19"/>
          <w:szCs w:val="19"/>
          <w:lang w:val="en"/>
        </w:rPr>
        <w:fldChar w:fldCharType="separate"/>
      </w:r>
      <w:r w:rsidRPr="00215F0B">
        <w:rPr>
          <w:rFonts w:eastAsia="Times New Roman" w:cs="Times New Roman"/>
          <w:noProof/>
          <w:sz w:val="19"/>
          <w:szCs w:val="19"/>
          <w:lang w:val="en"/>
        </w:rPr>
        <w:t>(UNICEF, WHO and World Bank, 2019)</w:t>
      </w:r>
      <w:r w:rsidRPr="00215F0B">
        <w:rPr>
          <w:rFonts w:eastAsia="Times New Roman" w:cs="Times New Roman"/>
          <w:sz w:val="19"/>
          <w:szCs w:val="19"/>
          <w:lang w:val="en"/>
        </w:rPr>
        <w:fldChar w:fldCharType="end"/>
      </w:r>
      <w:r w:rsidRPr="00215F0B">
        <w:rPr>
          <w:rFonts w:eastAsia="Times New Roman" w:cs="Times New Roman"/>
          <w:sz w:val="19"/>
          <w:szCs w:val="19"/>
          <w:lang w:val="en"/>
        </w:rPr>
        <w:t xml:space="preserve">    </w:t>
      </w:r>
    </w:p>
    <w:p w:rsidR="001C72A7" w:rsidRPr="001C72A7" w:rsidRDefault="001C72A7" w:rsidP="001C72A7">
      <w:pPr>
        <w:spacing w:line="360" w:lineRule="auto"/>
        <w:rPr>
          <w:rFonts w:eastAsia="Times New Roman" w:cs="Times New Roman"/>
          <w:sz w:val="22"/>
          <w:szCs w:val="22"/>
          <w:lang w:val="en"/>
        </w:rPr>
      </w:pPr>
    </w:p>
    <w:p w:rsidR="001C72A7" w:rsidRPr="001C72A7" w:rsidRDefault="001C72A7" w:rsidP="001C72A7">
      <w:pPr>
        <w:spacing w:line="360" w:lineRule="auto"/>
        <w:rPr>
          <w:rFonts w:eastAsia="Times New Roman" w:cs="Times New Roman"/>
          <w:b/>
          <w:sz w:val="22"/>
          <w:szCs w:val="22"/>
          <w:highlight w:val="yellow"/>
          <w:lang w:val="en"/>
        </w:rPr>
      </w:pPr>
      <w:r w:rsidRPr="001C72A7">
        <w:rPr>
          <w:rFonts w:eastAsia="Times New Roman" w:cs="Times New Roman"/>
          <w:b/>
          <w:sz w:val="22"/>
          <w:szCs w:val="22"/>
          <w:lang w:val="en"/>
        </w:rPr>
        <w:t>Limitations</w:t>
      </w:r>
    </w:p>
    <w:p w:rsidR="001C72A7" w:rsidRPr="001C72A7" w:rsidRDefault="001C72A7" w:rsidP="001C72A7">
      <w:pPr>
        <w:spacing w:line="360" w:lineRule="auto"/>
        <w:rPr>
          <w:rFonts w:eastAsia="Times New Roman" w:cs="Times New Roman"/>
          <w:b/>
          <w:sz w:val="22"/>
          <w:szCs w:val="22"/>
          <w:lang w:val="en"/>
        </w:rPr>
      </w:pPr>
      <w:r w:rsidRPr="001C72A7">
        <w:rPr>
          <w:rFonts w:eastAsia="Times New Roman" w:cs="Times New Roman"/>
          <w:sz w:val="22"/>
          <w:szCs w:val="22"/>
          <w:lang w:val="en"/>
        </w:rPr>
        <w:t>A number of limitations are acknowledged. First, although data on SDGs are available</w:t>
      </w:r>
      <w:r w:rsidRPr="001C72A7">
        <w:rPr>
          <w:rFonts w:eastAsia="Times New Roman" w:cs="Times New Roman"/>
          <w:sz w:val="22"/>
          <w:szCs w:val="22"/>
          <w:highlight w:val="white"/>
          <w:lang w:val="en"/>
        </w:rPr>
        <w:t xml:space="preserve"> across a wide range of targets presents, gaps in trackable data have been acknowledged as a major challenge, limiting comprehensive assessment of regional/country performance and trajectory on SDG #2 </w:t>
      </w:r>
      <w:r w:rsidRPr="001C72A7">
        <w:rPr>
          <w:rFonts w:eastAsia="Times New Roman" w:cs="Times New Roman"/>
          <w:sz w:val="22"/>
          <w:szCs w:val="22"/>
          <w:highlight w:val="white"/>
          <w:lang w:val="en"/>
        </w:rPr>
        <w:fldChar w:fldCharType="begin" w:fldLock="1"/>
      </w:r>
      <w:r w:rsidRPr="001C72A7">
        <w:rPr>
          <w:rFonts w:eastAsia="Times New Roman" w:cs="Times New Roman"/>
          <w:sz w:val="22"/>
          <w:szCs w:val="22"/>
          <w:highlight w:val="white"/>
          <w:lang w:val="en"/>
        </w:rPr>
        <w:instrText>ADDIN CSL_CITATION {"citationItems":[{"id":"ITEM-1","itemData":{"URL":"https://www.cgdev.org/blog/sdg-indicators-serious-gaps-abound-data-availability","accessed":{"date-parts":[["2020","6","13"]]},"author":[{"dropping-particle":"","family":"Dunning","given":"Casey","non-dropping-particle":"","parse-names":false,"suffix":""},{"dropping-particle":"","family":"Kalow","given":"Jared","non-dropping-particle":"","parse-names":false,"suffix":""}],"container-title":"Center for Global Development","id":"ITEM-1","issued":{"date-parts":[["2016"]]},"title":"SDG Indicators: Serious Gaps Abound in Data Availability | Center For Global Development","type":"webpage"},"uris":["http://www.mendeley.com/documents/?uuid=a544b7a5-3be0-3f96-b3c3-6ef7325387d5"]},{"id":"ITEM-2","itemData":{"ISBN":"9789211251272","author":[{"dropping-particle":"","family":"United Nations Economic Commission for Africa","given":"","non-dropping-particle":"","parse-names":false,"suffix":""}],"id":"ITEM-2","issued":{"date-parts":[["2017"]]},"publisher-place":"Addis Ababa, Ethiopia All","title":"Economic Report on Africa 2017: Urbanization and Industrialization for Africa’s Transformation","type":"report"},"uris":["http://www.mendeley.com/documents/?uuid=2be9612d-52a8-4f4a-9fef-af690400cd48"]}],"mendeley":{"formattedCitation":"(Dunning and Kalow, 2016; United Nations Economic Commission for Africa, 2017)","plainTextFormattedCitation":"(Dunning and Kalow, 2016; United Nations Economic Commission for Africa, 2017)","previouslyFormattedCitation":"(Dunning and Kalow, 2016; United Nations Economic Commission for Africa, 2017)"},"properties":{"noteIndex":0},"schema":"https://github.com/citation-style-language/schema/raw/master/csl-citation.json"}</w:instrText>
      </w:r>
      <w:r w:rsidRPr="001C72A7">
        <w:rPr>
          <w:rFonts w:eastAsia="Times New Roman" w:cs="Times New Roman"/>
          <w:sz w:val="22"/>
          <w:szCs w:val="22"/>
          <w:highlight w:val="white"/>
          <w:lang w:val="en"/>
        </w:rPr>
        <w:fldChar w:fldCharType="separate"/>
      </w:r>
      <w:r w:rsidRPr="001C72A7">
        <w:rPr>
          <w:rFonts w:eastAsia="Times New Roman" w:cs="Times New Roman"/>
          <w:noProof/>
          <w:sz w:val="22"/>
          <w:szCs w:val="22"/>
          <w:highlight w:val="white"/>
          <w:lang w:val="en"/>
        </w:rPr>
        <w:t>(Dunning and Kalow, 2016; United Nations Economic Commission for Africa, 2017)</w:t>
      </w:r>
      <w:r w:rsidRPr="001C72A7">
        <w:rPr>
          <w:rFonts w:eastAsia="Times New Roman" w:cs="Times New Roman"/>
          <w:sz w:val="22"/>
          <w:szCs w:val="22"/>
          <w:highlight w:val="white"/>
          <w:lang w:val="en"/>
        </w:rPr>
        <w:fldChar w:fldCharType="end"/>
      </w:r>
      <w:r w:rsidRPr="001C72A7">
        <w:rPr>
          <w:rFonts w:eastAsia="Times New Roman" w:cs="Times New Roman"/>
          <w:sz w:val="22"/>
          <w:szCs w:val="22"/>
          <w:highlight w:val="white"/>
          <w:lang w:val="en"/>
        </w:rPr>
        <w:t xml:space="preserve">. Indeed, more than 40 percent of indicators under SDG #2 are not trackable in sub-Saharan Africa </w:t>
      </w:r>
      <w:r w:rsidRPr="001C72A7">
        <w:rPr>
          <w:rFonts w:eastAsia="Times New Roman" w:cs="Times New Roman"/>
          <w:sz w:val="22"/>
          <w:szCs w:val="22"/>
          <w:highlight w:val="white"/>
          <w:lang w:val="en"/>
        </w:rPr>
        <w:fldChar w:fldCharType="begin" w:fldLock="1"/>
      </w:r>
      <w:r w:rsidRPr="001C72A7">
        <w:rPr>
          <w:rFonts w:eastAsia="Times New Roman" w:cs="Times New Roman"/>
          <w:sz w:val="22"/>
          <w:szCs w:val="22"/>
          <w:highlight w:val="white"/>
          <w:lang w:val="en"/>
        </w:rPr>
        <w:instrText>ADDIN CSL_CITATION {"citationItems":[{"id":"ITEM-1","itemData":{"ISBN":"9789211251272","author":[{"dropping-particle":"","family":"United Nations Economic Commission for Africa","given":"","non-dropping-particle":"","parse-names":false,"suffix":""}],"id":"ITEM-1","issued":{"date-parts":[["2017"]]},"publisher-place":"Addis Ababa, Ethiopia All","title":"Economic Report on Africa 2017: Urbanization and Industrialization for Africa’s Transformation","type":"report"},"uris":["http://www.mendeley.com/documents/?uuid=2be9612d-52a8-4f4a-9fef-af690400cd48"]}],"mendeley":{"formattedCitation":"(United Nations Economic Commission for Africa, 2017)","plainTextFormattedCitation":"(United Nations Economic Commission for Africa, 2017)","previouslyFormattedCitation":"(United Nations Economic Commission for Africa, 2017)"},"properties":{"noteIndex":0},"schema":"https://github.com/citation-style-language/schema/raw/master/csl-citation.json"}</w:instrText>
      </w:r>
      <w:r w:rsidRPr="001C72A7">
        <w:rPr>
          <w:rFonts w:eastAsia="Times New Roman" w:cs="Times New Roman"/>
          <w:sz w:val="22"/>
          <w:szCs w:val="22"/>
          <w:highlight w:val="white"/>
          <w:lang w:val="en"/>
        </w:rPr>
        <w:fldChar w:fldCharType="separate"/>
      </w:r>
      <w:r w:rsidRPr="001C72A7">
        <w:rPr>
          <w:rFonts w:eastAsia="Times New Roman" w:cs="Times New Roman"/>
          <w:noProof/>
          <w:sz w:val="22"/>
          <w:szCs w:val="22"/>
          <w:highlight w:val="white"/>
          <w:lang w:val="en"/>
        </w:rPr>
        <w:t>(United Nations Economic Commission for Africa, 2017)</w:t>
      </w:r>
      <w:r w:rsidRPr="001C72A7">
        <w:rPr>
          <w:rFonts w:eastAsia="Times New Roman" w:cs="Times New Roman"/>
          <w:sz w:val="22"/>
          <w:szCs w:val="22"/>
          <w:highlight w:val="white"/>
          <w:lang w:val="en"/>
        </w:rPr>
        <w:fldChar w:fldCharType="end"/>
      </w:r>
      <w:r w:rsidRPr="001C72A7">
        <w:rPr>
          <w:rFonts w:eastAsia="Times New Roman" w:cs="Times New Roman"/>
          <w:sz w:val="22"/>
          <w:szCs w:val="22"/>
          <w:highlight w:val="white"/>
          <w:lang w:val="en"/>
        </w:rPr>
        <w:t xml:space="preserve">. For example, we were not able to explicitly examine the relationship between the three pathways and child hunger and malnutrition because of data gaps. The observed data gaps often translate into </w:t>
      </w:r>
      <w:r w:rsidRPr="001C72A7">
        <w:rPr>
          <w:rFonts w:eastAsia="Times New Roman" w:cs="Times New Roman"/>
          <w:sz w:val="22"/>
          <w:szCs w:val="22"/>
          <w:lang w:val="en"/>
        </w:rPr>
        <w:t xml:space="preserve">policy decisions and interventions that are not guided by evidence. As a benchmarking exercise, the current study stops short of examining causal relationships or associations between the indicators and pathways and provides an overview of existing data and literature to facilitate such exercises. Observations made in this study point to the need for future assessments and research to examine child hunger and malnutrition using more comprehensive data and a theoretical framework. </w:t>
      </w:r>
    </w:p>
    <w:p w:rsidR="001C72A7" w:rsidRPr="001C72A7" w:rsidRDefault="001C72A7" w:rsidP="001C72A7">
      <w:pPr>
        <w:spacing w:line="360" w:lineRule="auto"/>
        <w:rPr>
          <w:rFonts w:eastAsia="Times New Roman" w:cs="Times New Roman"/>
          <w:b/>
          <w:sz w:val="22"/>
          <w:szCs w:val="22"/>
          <w:lang w:val="en"/>
        </w:rPr>
      </w:pPr>
      <w:r w:rsidRPr="001C72A7">
        <w:rPr>
          <w:rFonts w:eastAsia="Times New Roman" w:cs="Times New Roman"/>
          <w:b/>
          <w:sz w:val="22"/>
          <w:szCs w:val="22"/>
          <w:lang w:val="en"/>
        </w:rPr>
        <w:t>Discussion</w:t>
      </w:r>
    </w:p>
    <w:p w:rsidR="001C72A7" w:rsidRPr="001C72A7" w:rsidRDefault="001C72A7" w:rsidP="001C72A7">
      <w:pPr>
        <w:spacing w:line="360" w:lineRule="auto"/>
        <w:rPr>
          <w:rFonts w:eastAsia="Times New Roman" w:cs="Times New Roman"/>
          <w:sz w:val="22"/>
          <w:szCs w:val="22"/>
          <w:lang w:val="en"/>
        </w:rPr>
      </w:pPr>
      <w:r w:rsidRPr="001C72A7">
        <w:rPr>
          <w:rFonts w:eastAsia="Times New Roman" w:cs="Times New Roman"/>
          <w:sz w:val="22"/>
          <w:szCs w:val="22"/>
          <w:lang w:val="en"/>
        </w:rPr>
        <w:t xml:space="preserve">The prevalence of undernourishment continues to be high in sub-Saharan Africa. Within the region, Eastern Africa reports the highest rates and the rates for Middle Africa continue to be at alarming levels. Figures for Middle Africa may be driven by the Central African Republic where prevalence of undernutrition stands at 62%. As in previous studies, undernourishment in the region is more visible in conflict-affected countries and countries affected by drought and flood conditions, highlighting the compounding effects of conflict on climate-related incidents </w:t>
      </w:r>
      <w:r w:rsidRPr="001C72A7">
        <w:rPr>
          <w:rFonts w:eastAsia="Times New Roman" w:cs="Times New Roman"/>
          <w:sz w:val="22"/>
          <w:szCs w:val="22"/>
          <w:lang w:val="en"/>
        </w:rPr>
        <w:fldChar w:fldCharType="begin" w:fldLock="1"/>
      </w:r>
      <w:r w:rsidRPr="001C72A7">
        <w:rPr>
          <w:rFonts w:eastAsia="Times New Roman" w:cs="Times New Roman"/>
          <w:sz w:val="22"/>
          <w:szCs w:val="22"/>
          <w:lang w:val="en"/>
        </w:rPr>
        <w:instrText>ADDIN CSL_CITATION {"citationItems":[{"id":"ITEM-1","itemData":{"ISBN":"9789251315705","author":[{"dropping-particle":"","family":"FAO","given":"","non-dropping-particle":"","parse-names":false,"suffix":""},{"dropping-particle":"","family":"IFAD","given":"","non-dropping-particle":"","parse-names":false,"suffix":""},{"dropping-particle":"","family":"UNICEF","given":"","non-dropping-particle":"","parse-names":false,"suffix":""},{"dropping-particle":"","family":"WFP","given":"","non-dropping-particle":"","parse-names":false,"suffix":""},{"dropping-particle":"","family":"WHO","given":"","non-dropping-particle":"","parse-names":false,"suffix":""}],"id":"ITEM-1","issued":{"date-parts":[["2019"]]},"publisher":"FOOD &amp; AGRICULTURE ORG","publisher-place":"Rome","title":"The state of food security and nutrition in the world 2019: Safeguarding against economic slowdowns and downturns.","type":"report"},"uris":["http://www.mendeley.com/documents/?uuid=6e0a38e7-727d-3a80-9ca3-9dc126c56d8e"]}],"mendeley":{"formattedCitation":"(FAO &lt;i&gt;et al.&lt;/i&gt;, 2019)","plainTextFormattedCitation":"(FAO et al., 2019)","previouslyFormattedCitation":"(FAO &lt;i&gt;et al.&lt;/i&gt;, 2019)"},"properties":{"noteIndex":0},"schema":"https://github.com/citation-style-language/schema/raw/master/csl-citation.json"}</w:instrText>
      </w:r>
      <w:r w:rsidRPr="001C72A7">
        <w:rPr>
          <w:rFonts w:eastAsia="Times New Roman" w:cs="Times New Roman"/>
          <w:sz w:val="22"/>
          <w:szCs w:val="22"/>
          <w:lang w:val="en"/>
        </w:rPr>
        <w:fldChar w:fldCharType="separate"/>
      </w:r>
      <w:r w:rsidRPr="001C72A7">
        <w:rPr>
          <w:rFonts w:eastAsia="Times New Roman" w:cs="Times New Roman"/>
          <w:noProof/>
          <w:sz w:val="22"/>
          <w:szCs w:val="22"/>
          <w:lang w:val="en"/>
        </w:rPr>
        <w:t xml:space="preserve">(FAO </w:t>
      </w:r>
      <w:r w:rsidRPr="001C72A7">
        <w:rPr>
          <w:rFonts w:eastAsia="Times New Roman" w:cs="Times New Roman"/>
          <w:i/>
          <w:noProof/>
          <w:sz w:val="22"/>
          <w:szCs w:val="22"/>
          <w:lang w:val="en"/>
        </w:rPr>
        <w:t>et al.</w:t>
      </w:r>
      <w:r w:rsidRPr="001C72A7">
        <w:rPr>
          <w:rFonts w:eastAsia="Times New Roman" w:cs="Times New Roman"/>
          <w:noProof/>
          <w:sz w:val="22"/>
          <w:szCs w:val="22"/>
          <w:lang w:val="en"/>
        </w:rPr>
        <w:t>, 2019)</w:t>
      </w:r>
      <w:r w:rsidRPr="001C72A7">
        <w:rPr>
          <w:rFonts w:eastAsia="Times New Roman" w:cs="Times New Roman"/>
          <w:sz w:val="22"/>
          <w:szCs w:val="22"/>
          <w:lang w:val="en"/>
        </w:rPr>
        <w:fldChar w:fldCharType="end"/>
      </w:r>
      <w:r w:rsidRPr="001C72A7">
        <w:rPr>
          <w:rFonts w:eastAsia="Times New Roman" w:cs="Times New Roman"/>
          <w:sz w:val="22"/>
          <w:szCs w:val="22"/>
          <w:lang w:val="en"/>
        </w:rPr>
        <w:t xml:space="preserve">. Furthermore, stunting, an indicator of severe malnutrition, caused by a range of intersecting factors such as a child’s nutritional intake, mother nutrition during pregnancy, and the recurrence of infectious diseases </w:t>
      </w:r>
      <w:r w:rsidRPr="001C72A7">
        <w:rPr>
          <w:rFonts w:eastAsia="Times New Roman" w:cs="Times New Roman"/>
          <w:sz w:val="22"/>
          <w:szCs w:val="22"/>
          <w:lang w:val="en"/>
        </w:rPr>
        <w:fldChar w:fldCharType="begin" w:fldLock="1"/>
      </w:r>
      <w:r w:rsidRPr="001C72A7">
        <w:rPr>
          <w:rFonts w:eastAsia="Times New Roman" w:cs="Times New Roman"/>
          <w:sz w:val="22"/>
          <w:szCs w:val="22"/>
          <w:lang w:val="en"/>
        </w:rPr>
        <w:instrText>ADDIN CSL_CITATION {"citationItems":[{"id":"ITEM-1","itemData":{"DOI":"10.1017/S1368980015001913","ISBN":"1368980015001","ISSN":"14752727","abstract":"OBJECTIVE: To investigate the predictors of wasting, stunting and low mid-upper arm circumference among children aged 6-59 months in Somalia using data from household cross-sectional surveys from 2007 to 2010 in order to help inform better targeting of nutritional interventions. DESIGN: Cross-sectional nutritional assessment surveys using structured interviews were conducted among communities in Somalia each year from 2007 to 2010. A two-stage cluster sampling methodology was used to select children aged 6-59 months from households across three livelihood zones (pastoral, agro-pastoral and riverine). Predictors of three anthropometric measures, weight-for-height (wasting), height-for-age (stunting) and mid-upper arm circumference, were analysed using Bayesian binomial regression, controlling for both spatial and temporal dependence in the data. SETTING: The study was conducted in randomly sampled villages, representative of three livelihood zones in Somalia. SUBJECTS: Children between the ages of 6 and 59 months in Somalia. RESULTS: The estimated national prevalence of wasting, stunting and low mid-upper arm circumference in children aged 6-59 months was 21 %, 31 % and 36 %, respectively. Although fever, diarrhoea, sex and age of the child, household size and access to foods were significant predictors of malnutrition, the strongest association was observed between all three indicators of malnutrition and the enhanced vegetation index. A 1-unit increase in enhanced vegetation index was associated with a 38 %, 49 % and 59 % reduction in wasting, stunting and low mid-upper arm circumference, respectively. CONCLUSIONS: Infection and climatic variations are likely to be key drivers of malnutrition in Somalia. Better health data and close monitoring and forecasting of droughts may provide valuable information for nutritional intervention planning in Somalia.","author":[{"dropping-particle":"","family":"Kinyoki","given":"Damaris K.","non-dropping-particle":"","parse-names":false,"suffix":""},{"dropping-particle":"","family":"Berkley","given":"James A.","non-dropping-particle":"","parse-names":false,"suffix":""},{"dropping-particle":"","family":"Moloney","given":"Grainne M.","non-dropping-particle":"","parse-names":false,"suffix":""},{"dropping-particle":"","family":"Kandala","given":"Ngianga Bakwin","non-dropping-particle":"","parse-names":false,"suffix":""},{"dropping-particle":"","family":"Noor","given":"Abdisalan M.","non-dropping-particle":"","parse-names":false,"suffix":""}],"container-title":"Public Health Nutrition","id":"ITEM-1","issue":"17","issued":{"date-parts":[["2015"]]},"page":"3125-3133","title":"Predictors of the risk of malnutrition among children under the age of 5 years in Somalia","type":"article-journal","volume":"18"},"uris":["http://www.mendeley.com/documents/?uuid=4f76f268-1df8-4709-ac41-80da9f2c2d2d"]},{"id":"ITEM-2","itemData":{"author":[{"dropping-particle":"","family":"WHO","given":"","non-dropping-particle":"","parse-names":false,"suffix":""}],"id":"ITEM-2","issue":"2","issued":{"date-parts":[["2014"]]},"number-of-pages":"74-76, 78","publisher-place":"Geneva, Switzerland","title":"Global Nutrition Targets 2025 Stunting Policy Brief","type":"report","volume":"122"},"uris":["http://www.mendeley.com/documents/?uuid=3c8fe1ce-e126-451c-bf3e-cc307d2be5ae"]}],"mendeley":{"formattedCitation":"(WHO, 2014; Kinyoki &lt;i&gt;et al.&lt;/i&gt;, 2015)","plainTextFormattedCitation":"(WHO, 2014; Kinyoki et al., 2015)","previouslyFormattedCitation":"(WHO, 2014; Kinyoki &lt;i&gt;et al.&lt;/i&gt;, 2015)"},"properties":{"noteIndex":0},"schema":"https://github.com/citation-style-language/schema/raw/master/csl-citation.json"}</w:instrText>
      </w:r>
      <w:r w:rsidRPr="001C72A7">
        <w:rPr>
          <w:rFonts w:eastAsia="Times New Roman" w:cs="Times New Roman"/>
          <w:sz w:val="22"/>
          <w:szCs w:val="22"/>
          <w:lang w:val="en"/>
        </w:rPr>
        <w:fldChar w:fldCharType="separate"/>
      </w:r>
      <w:r w:rsidRPr="001C72A7">
        <w:rPr>
          <w:rFonts w:eastAsia="Times New Roman" w:cs="Times New Roman"/>
          <w:noProof/>
          <w:sz w:val="22"/>
          <w:szCs w:val="22"/>
          <w:lang w:val="en"/>
        </w:rPr>
        <w:t xml:space="preserve">(WHO, 2014; Kinyoki </w:t>
      </w:r>
      <w:r w:rsidRPr="001C72A7">
        <w:rPr>
          <w:rFonts w:eastAsia="Times New Roman" w:cs="Times New Roman"/>
          <w:i/>
          <w:noProof/>
          <w:sz w:val="22"/>
          <w:szCs w:val="22"/>
          <w:lang w:val="en"/>
        </w:rPr>
        <w:t>et al.</w:t>
      </w:r>
      <w:r w:rsidRPr="001C72A7">
        <w:rPr>
          <w:rFonts w:eastAsia="Times New Roman" w:cs="Times New Roman"/>
          <w:noProof/>
          <w:sz w:val="22"/>
          <w:szCs w:val="22"/>
          <w:lang w:val="en"/>
        </w:rPr>
        <w:t>, 2015)</w:t>
      </w:r>
      <w:r w:rsidRPr="001C72A7">
        <w:rPr>
          <w:rFonts w:eastAsia="Times New Roman" w:cs="Times New Roman"/>
          <w:sz w:val="22"/>
          <w:szCs w:val="22"/>
          <w:lang w:val="en"/>
        </w:rPr>
        <w:fldChar w:fldCharType="end"/>
      </w:r>
      <w:r w:rsidRPr="001C72A7">
        <w:rPr>
          <w:rFonts w:eastAsia="Times New Roman" w:cs="Times New Roman"/>
          <w:sz w:val="22"/>
          <w:szCs w:val="22"/>
          <w:lang w:val="en"/>
        </w:rPr>
        <w:t>, continues to be of concern.  Indeed, the rate of child stunting for sub-Saharan Africa has gone down, from 35.1% in 2015 to 34.1% in 2017. However, stunting is still higher than the average World level, which stands at 22.2%. Specifically, higher rates are observed in Eastern Africa compared to other subregions. The proportion of stunting in Middle Africa is also of concern. As was the case with undernourishment, stunting is especially prevalent in countries experiencing political instability. These data are concerning in that, unlike wasting, evidence indicates that the impacts of stunting on child development (cognitive and physical development) tend to be irreversible after the first 1000 days (about 2.7 years) of a child’s life.</w:t>
      </w:r>
    </w:p>
    <w:p w:rsidR="001C72A7" w:rsidRPr="001C72A7" w:rsidRDefault="001C72A7" w:rsidP="001C72A7">
      <w:pPr>
        <w:spacing w:before="240" w:after="240" w:line="360" w:lineRule="auto"/>
        <w:rPr>
          <w:rFonts w:eastAsia="Times New Roman" w:cs="Times New Roman"/>
          <w:sz w:val="22"/>
          <w:szCs w:val="22"/>
          <w:lang w:val="en"/>
        </w:rPr>
      </w:pPr>
      <w:r w:rsidRPr="001C72A7">
        <w:rPr>
          <w:rFonts w:eastAsia="Times New Roman" w:cs="Times New Roman"/>
          <w:sz w:val="22"/>
          <w:szCs w:val="22"/>
          <w:lang w:val="en"/>
        </w:rPr>
        <w:t xml:space="preserve">With regards to wasting, sub-Saharan Africa has a slightly lower average than the global average (6.9% compared to 7.3%). Within the region, higher rates are reported in Western and Middle Africa respectively. A similar picture is observed with respect to child overweight: sub-Saharan Africa reports lower than the world average (3.9 compared  to 5.80) from 2015-2018. Eastern and Middle Africa report higher than the region’s average of overweight among children under the age of five. This observation is in line with previous research grouping the two indicators under child malnutrition </w:t>
      </w:r>
      <w:r w:rsidRPr="001C72A7">
        <w:rPr>
          <w:rFonts w:eastAsia="Times New Roman" w:cs="Times New Roman"/>
          <w:sz w:val="22"/>
          <w:szCs w:val="22"/>
          <w:lang w:val="en"/>
        </w:rPr>
        <w:fldChar w:fldCharType="begin" w:fldLock="1"/>
      </w:r>
      <w:r w:rsidRPr="001C72A7">
        <w:rPr>
          <w:rFonts w:eastAsia="Times New Roman" w:cs="Times New Roman"/>
          <w:sz w:val="22"/>
          <w:szCs w:val="22"/>
          <w:lang w:val="en"/>
        </w:rPr>
        <w:instrText>ADDIN CSL_CITATION {"citationItems":[{"id":"ITEM-1","itemData":{"DOI":"10.1017/S1368980018002434","ISBN":"1368980018002","ISSN":"14752727","abstract":"Objective Prevalence ranges to classify levels of wasting and stunting have been used since the 1990s for global monitoring of malnutrition. Recent developments prompted a re-examination of existing ranges and development of new ones for childhood overweight. The present paper reports from the WHO–UNICEF Technical Expert Advisory Group on Nutrition Monitoring. Design Thresholds were developed in relation to sd of the normative WHO Child Growth Standards. The international definition of ‘normal’ (2 sd below/above the WHO standards median) defines the first threshold, which includes 2·3 % of the area under the normalized distribution. Multipliers of this ‘very low’ level (rounded to 2·5 %) set the basis to establish subsequent thresholds. Country groupings using the thresholds were produced using the most recent set of national surveys. Setting One hundred and thirty-four countries. Subjects Children under 5 years. Results For wasting and overweight, thresholds are: ‘very low’ (&lt;2·5 %), ‘low’ (≈1–2 times 2·5 %), ‘medium’ (≈2–4 times 2·5 %), ‘high’ (≈4–6 times 2·5 %) and ‘very high’ (&gt;≈6 times 2·5 %). For stunting, thresholds are: ‘very low’ (&lt;2·5 %), ‘low’ (≈1–4 times 2·5 %), ‘medium’ (≈4–8 times 2·5 %), ‘high’ (≈8–12 times 2·5 %) and ‘very high’ (&gt;≈12 times 2·5 %). Conclusions The proposed thresholds minimize changes and keep coherence across anthropometric indicators. They can be used for descriptive purposes to map countries according to severity levels; by donors and global actors to identify priority countries for action; and by governments to trigger action and target programmes aimed at achieving ‘low’ or ‘very low’ levels. Harmonized terminology will help avoid confusion and promote appropriate interventions.","author":[{"dropping-particle":"","family":"Onis","given":"Mercedes","non-dropping-particle":"De","parse-names":false,"suffix":""},{"dropping-particle":"","family":"Borghi","given":"Elaine","non-dropping-particle":"","parse-names":false,"suffix":""},{"dropping-particle":"","family":"Arimond","given":"Mary","non-dropping-particle":"","parse-names":false,"suffix":""},{"dropping-particle":"","family":"Webb","given":"Patrick","non-dropping-particle":"","parse-names":false,"suffix":""},{"dropping-particle":"","family":"Croft","given":"Trevor","non-dropping-particle":"","parse-names":false,"suffix":""},{"dropping-particle":"","family":"Saha","given":"Kuntal","non-dropping-particle":"","parse-names":false,"suffix":""},{"dropping-particle":"","family":"De-Regil","given":"Luz Maria","non-dropping-particle":"","parse-names":false,"suffix":""},{"dropping-particle":"","family":"Thuita","given":"Faith","non-dropping-particle":"","parse-names":false,"suffix":""},{"dropping-particle":"","family":"Heidkamp","given":"Rebecca","non-dropping-particle":"","parse-names":false,"suffix":""},{"dropping-particle":"","family":"Krasevec","given":"Julia","non-dropping-particle":"","parse-names":false,"suffix":""},{"dropping-particle":"","family":"Hayashi","given":"Chika","non-dropping-particle":"","parse-names":false,"suffix":""},{"dropping-particle":"","family":"Flores-Ayala","given":"Rafael","non-dropping-particle":"","parse-names":false,"suffix":""}],"container-title":"Public Health Nutrition","id":"ITEM-1","issue":"1","issued":{"date-parts":[["2019"]]},"page":"175-179","title":"Prevalence thresholds for wasting, overweight and stunting in children under 5 years","type":"article-journal","volume":"22"},"uris":["http://www.mendeley.com/documents/?uuid=a599a6e8-dda5-4967-93a5-62219dfc3e7a"]}],"mendeley":{"formattedCitation":"(De Onis &lt;i&gt;et al.&lt;/i&gt;, 2019)","plainTextFormattedCitation":"(De Onis et al., 2019)","previouslyFormattedCitation":"(De Onis &lt;i&gt;et al.&lt;/i&gt;, 2019)"},"properties":{"noteIndex":0},"schema":"https://github.com/citation-style-language/schema/raw/master/csl-citation.json"}</w:instrText>
      </w:r>
      <w:r w:rsidRPr="001C72A7">
        <w:rPr>
          <w:rFonts w:eastAsia="Times New Roman" w:cs="Times New Roman"/>
          <w:sz w:val="22"/>
          <w:szCs w:val="22"/>
          <w:lang w:val="en"/>
        </w:rPr>
        <w:fldChar w:fldCharType="separate"/>
      </w:r>
      <w:r w:rsidRPr="001C72A7">
        <w:rPr>
          <w:rFonts w:eastAsia="Times New Roman" w:cs="Times New Roman"/>
          <w:noProof/>
          <w:sz w:val="22"/>
          <w:szCs w:val="22"/>
          <w:lang w:val="en"/>
        </w:rPr>
        <w:t xml:space="preserve">(De Onis </w:t>
      </w:r>
      <w:r w:rsidRPr="001C72A7">
        <w:rPr>
          <w:rFonts w:eastAsia="Times New Roman" w:cs="Times New Roman"/>
          <w:i/>
          <w:noProof/>
          <w:sz w:val="22"/>
          <w:szCs w:val="22"/>
          <w:lang w:val="en"/>
        </w:rPr>
        <w:t>et al.</w:t>
      </w:r>
      <w:r w:rsidRPr="001C72A7">
        <w:rPr>
          <w:rFonts w:eastAsia="Times New Roman" w:cs="Times New Roman"/>
          <w:noProof/>
          <w:sz w:val="22"/>
          <w:szCs w:val="22"/>
          <w:lang w:val="en"/>
        </w:rPr>
        <w:t>, 2019)</w:t>
      </w:r>
      <w:r w:rsidRPr="001C72A7">
        <w:rPr>
          <w:rFonts w:eastAsia="Times New Roman" w:cs="Times New Roman"/>
          <w:sz w:val="22"/>
          <w:szCs w:val="22"/>
          <w:lang w:val="en"/>
        </w:rPr>
        <w:fldChar w:fldCharType="end"/>
      </w:r>
      <w:r w:rsidRPr="001C72A7">
        <w:rPr>
          <w:rFonts w:eastAsia="Times New Roman" w:cs="Times New Roman"/>
          <w:sz w:val="22"/>
          <w:szCs w:val="22"/>
          <w:lang w:val="en"/>
        </w:rPr>
        <w:t xml:space="preserve">.  Furthermore, this can be connected to the high levels of undernutrition and stunting reported by Eastern and Middle Africa respectively. </w:t>
      </w:r>
    </w:p>
    <w:p w:rsidR="001C72A7" w:rsidRPr="001C72A7" w:rsidRDefault="001C72A7" w:rsidP="00215F0B">
      <w:pPr>
        <w:spacing w:line="360" w:lineRule="auto"/>
        <w:rPr>
          <w:rFonts w:eastAsia="Times New Roman" w:cs="Times New Roman"/>
          <w:b/>
          <w:sz w:val="22"/>
          <w:szCs w:val="22"/>
          <w:highlight w:val="yellow"/>
          <w:lang w:val="en"/>
        </w:rPr>
      </w:pPr>
      <w:r w:rsidRPr="001C72A7">
        <w:rPr>
          <w:rFonts w:eastAsia="Times New Roman" w:cs="Times New Roman"/>
          <w:b/>
          <w:sz w:val="22"/>
          <w:szCs w:val="22"/>
          <w:lang w:val="en"/>
        </w:rPr>
        <w:t>Imp</w:t>
      </w:r>
      <w:r w:rsidRPr="00215F0B">
        <w:rPr>
          <w:rFonts w:eastAsia="Times New Roman" w:cs="Times New Roman"/>
          <w:b/>
          <w:sz w:val="22"/>
          <w:szCs w:val="22"/>
          <w:lang w:val="en"/>
        </w:rPr>
        <w:t>lications: Policy, Practice and</w:t>
      </w:r>
      <w:r w:rsidRPr="001C72A7">
        <w:rPr>
          <w:rFonts w:eastAsia="Times New Roman" w:cs="Times New Roman"/>
          <w:b/>
          <w:sz w:val="22"/>
          <w:szCs w:val="22"/>
          <w:lang w:val="en"/>
        </w:rPr>
        <w:t>Scholarship</w:t>
      </w:r>
    </w:p>
    <w:p w:rsidR="001C72A7" w:rsidRPr="001C72A7" w:rsidRDefault="001C72A7" w:rsidP="001C72A7">
      <w:pPr>
        <w:pBdr>
          <w:bottom w:val="none" w:sz="0" w:space="1" w:color="000000"/>
        </w:pBdr>
        <w:spacing w:before="160" w:line="360" w:lineRule="auto"/>
        <w:ind w:right="160"/>
        <w:rPr>
          <w:rFonts w:eastAsia="Times New Roman" w:cs="Times New Roman"/>
          <w:sz w:val="22"/>
          <w:szCs w:val="22"/>
          <w:highlight w:val="white"/>
          <w:lang w:val="en"/>
        </w:rPr>
      </w:pPr>
      <w:r w:rsidRPr="001C72A7">
        <w:rPr>
          <w:rFonts w:eastAsia="Times New Roman" w:cs="Times New Roman"/>
          <w:sz w:val="22"/>
          <w:szCs w:val="22"/>
          <w:lang w:val="en"/>
        </w:rPr>
        <w:t xml:space="preserve">This study set out to </w:t>
      </w:r>
      <w:r w:rsidRPr="001C72A7">
        <w:rPr>
          <w:rFonts w:eastAsia="Times New Roman" w:cs="Times New Roman"/>
          <w:sz w:val="22"/>
          <w:szCs w:val="22"/>
          <w:highlight w:val="white"/>
          <w:lang w:val="en"/>
        </w:rPr>
        <w:t xml:space="preserve">highlight progress or lack thereof, with respect to four of the nine indicators under SDG2 (Zero Hunger) - Prevalence of undernourishment, Prevalence of stunting, Prevalence of malnutrition, and Prevalence of food insecurity - with respect to child hunger in sub-Saharan Africa. A number of implications are suggested to guide scholarship, practice and policy decisions. With regards to policy, one way to mitigate food insecurity and promote child wellbeing would be enactment of </w:t>
      </w:r>
      <w:r w:rsidRPr="001C72A7">
        <w:rPr>
          <w:rFonts w:eastAsia="Times New Roman" w:cs="Times New Roman"/>
          <w:sz w:val="22"/>
          <w:szCs w:val="22"/>
          <w:lang w:val="en"/>
        </w:rPr>
        <w:t xml:space="preserve">agric-friendly, pro poor policies that focus on food security and the promotion of human dignity such as weather based indexing and insurance, fisheries co-management, including programs such as the Homestead Food Production model in Nigeria might go a long way in advancing positive child outcomes </w:t>
      </w:r>
      <w:r w:rsidRPr="001C72A7">
        <w:rPr>
          <w:rFonts w:eastAsia="Times New Roman" w:cs="Times New Roman"/>
          <w:sz w:val="22"/>
          <w:szCs w:val="22"/>
          <w:lang w:val="en"/>
        </w:rPr>
        <w:fldChar w:fldCharType="begin" w:fldLock="1"/>
      </w:r>
      <w:r w:rsidRPr="001C72A7">
        <w:rPr>
          <w:rFonts w:eastAsia="Times New Roman" w:cs="Times New Roman"/>
          <w:sz w:val="22"/>
          <w:szCs w:val="22"/>
          <w:lang w:val="en"/>
        </w:rPr>
        <w:instrText>ADDIN CSL_CITATION {"citationItems":[{"id":"ITEM-1","itemData":{"ISSN":"1867-8521","abstract":"Introduction: The African Union and United Nations agencies requested that children under five years and pregnant women be exempt from healthcare payment at the point of service. Indeed, this payment method is a financial barrier to healthcare access that the most vulnerable populations cannot overcome. Since Burkina Faso had not yet implemented such a policy, an experiment was undertaken starting in 2008 in two districts of the Sahel region in order to produce evidence.Methods: A research programme was organised in order to evaluate the effectiveness, equity, processes, costs and social effects of this experiment. Twelve studies were undertaken that used a concurrent mixed method design with data collected from individuals, households, health centres and villages. Results: The experiment was integrated into the health system and was fully appreciated by all. The third-party payer system was effective. Pregnant women and children under the age of five years had faster and broader access to the health system. The poorest among them substantially benefited from the intervention. The quality of care was sustained and costs were controlled.Conclusion: Since equity is a priority for the government and its financial partners, the research results suggest that exemption should be extended to the national level and that measures should be organised to break down the geographic barrier.Introduction : L?Union Africaine et les agences des Nations Unies réclament que les enfants de moins de cinq ans et les femmes enceintes soient exemptés du paiement des soins au point de service. En effet, cette modalité de paiement impose une barrière financière à l?accès aux soins que les plus vulnérables ne peuvent surmonter. Puisque le Burkina Faso ne s?est pas encore engagé dans une telle politique, une expérimentation a été mise en ?uvre depuis 2008 dans deux districts du Sahel afin de produire des preuves sur cette stratégie.Méthodes : Un programme de recherches a été organisé afin d?évaluer l?efficacité, l?équité, les processus, les coûts et les effets sociaux de cette expérimentation. Douze études ont été entreprises en ayant recours à un devis mixte concomitant usant de données collectées auprès des individus, des ménages, des centres de santé et des villages. Résultats : L?expérimentation s?est intégrée au système de santé et a été bien appréciée par tous. Le système de tiers-payeur a été efficace. Les femmes enceintes et les enfants de moins de cinq ont eu recours plus…","author":[{"dropping-particle":"","family":"Talukder","given":"A.","non-dropping-particle":"","parse-names":false,"suffix":""},{"dropping-particle":"","family":"Haselow","given":"N.","non-dropping-particle":"","parse-names":false,"suffix":""},{"dropping-particle":"","family":"Osei","given":"A.","non-dropping-particle":"","parse-names":false,"suffix":""},{"dropping-particle":"","family":"Villate","given":"E.","non-dropping-particle":"","parse-names":false,"suffix":""},{"dropping-particle":"","family":"Reario","given":"D.","non-dropping-particle":"","parse-names":false,"suffix":""},{"dropping-particle":"","family":"Kroeun","given":"H.","non-dropping-particle":"","parse-names":false,"suffix":""},{"dropping-particle":"","family":"SokHoing","given":"L.","non-dropping-particle":"","parse-names":false,"suffix":""},{"dropping-particle":"","family":"Uddin","given":"A.","non-dropping-particle":"","parse-names":false,"suffix":""},{"dropping-particle":"","family":"Dhunge","given":"S.","non-dropping-particle":"","parse-names":false,"suffix":""},{"dropping-particle":"","family":"Quinn","given":"V.","non-dropping-particle":"","parse-names":false,"suffix":""}],"container-title":"Field Actions Science Reports. The journal of field actions","id":"ITEM-1","issue":"Special Issue 1","issued":{"date-parts":[["2010"]]},"page":"0-9","title":"Homestead food production model contributes to improved household food security and nutrition status of young children and women in poor populations. lessons learned from scaling-up programs in Asia (Bangladesh, Cambodia, Nepal and Philippines)","type":"article-journal"},"uris":["http://www.mendeley.com/documents/?uuid=edc8f574-c4e1-4aaf-b529-e637f3966b61"]},{"id":"ITEM-2","itemData":{"ISBN":"3333333333","author":[{"dropping-particle":"","family":"CPAN","given":"","non-dropping-particle":"","parse-names":false,"suffix":""}],"id":"ITEM-2","issued":{"date-parts":[["2012"]]},"publisher-place":"London","title":"Agriculture Policy Guide, Meeting the challenge of a new pro-poor agricultural paradigm: The role of agricultural policies and programmes","type":"report"},"uris":["http://www.mendeley.com/documents/?uuid=9662a302-4d6e-48d7-bbb4-18f4eb60d4e9"]},{"id":"ITEM-3","itemData":{"DOI":"10.1080/09614524.2018.1512952","ISSN":"0961-4524","author":[{"dropping-particle":"","family":"Bahta","given":"Yonas T","non-dropping-particle":"","parse-names":false,"suffix":""},{"dropping-particle":"","family":"Owusu-Sekyere","given":"Enoch","non-dropping-particle":"","parse-names":false,"suffix":""},{"dropping-particle":"","family":"Tlalang","given":"Boipelo","non-dropping-particle":"","parse-names":false,"suffix":""}],"container-title":"Development in Practice","id":"ITEM-3","issue":"1","issued":{"date-parts":[["2019","1","2"]]},"note":"doi: 10.1080/09614524.2018.1512952","page":"3-14","publisher":"Routledge","title":"Does women’s empowerment through policy intervention reduce food insecurity in South Africa?","type":"article-journal","volume":"29"},"uris":["http://www.mendeley.com/documents/?uuid=6f761c5b-8106-4272-884e-abe92e98b499"]},{"id":"ITEM-4","itemData":{"ISBN":"9789251318218","author":[{"dropping-particle":"","family":"FAO","given":"","non-dropping-particle":"","parse-names":false,"suffix":""}],"id":"ITEM-4","issued":{"date-parts":[["2019"]]},"title":"Fifteen years implementing the Right to Food Guidelines - Reviewing progress to achieve the 2030 Agenda","type":"book"},"uris":["http://www.mendeley.com/documents/?uuid=0fb3045a-1a66-48ba-8753-bb4df60502ca"]}],"mendeley":{"formattedCitation":"(Talukder &lt;i&gt;et al.&lt;/i&gt;, 2010; CPAN, 2012; Bahta, Owusu-Sekyere and Tlalang, 2019; FAO, 2019)","plainTextFormattedCitation":"(Talukder et al., 2010; CPAN, 2012; Bahta, Owusu-Sekyere and Tlalang, 2019; FAO, 2019)","previouslyFormattedCitation":"(Talukder &lt;i&gt;et al.&lt;/i&gt;, 2010; CPAN, 2012; Bahta, Owusu-Sekyere and Tlalang, 2019; FAO, 2019)"},"properties":{"noteIndex":0},"schema":"https://github.com/citation-style-language/schema/raw/master/csl-citation.json"}</w:instrText>
      </w:r>
      <w:r w:rsidRPr="001C72A7">
        <w:rPr>
          <w:rFonts w:eastAsia="Times New Roman" w:cs="Times New Roman"/>
          <w:sz w:val="22"/>
          <w:szCs w:val="22"/>
          <w:lang w:val="en"/>
        </w:rPr>
        <w:fldChar w:fldCharType="separate"/>
      </w:r>
      <w:r w:rsidRPr="001C72A7">
        <w:rPr>
          <w:rFonts w:eastAsia="Times New Roman" w:cs="Times New Roman"/>
          <w:noProof/>
          <w:sz w:val="22"/>
          <w:szCs w:val="22"/>
          <w:lang w:val="en"/>
        </w:rPr>
        <w:t xml:space="preserve">(Talukder </w:t>
      </w:r>
      <w:r w:rsidRPr="001C72A7">
        <w:rPr>
          <w:rFonts w:eastAsia="Times New Roman" w:cs="Times New Roman"/>
          <w:i/>
          <w:noProof/>
          <w:sz w:val="22"/>
          <w:szCs w:val="22"/>
          <w:lang w:val="en"/>
        </w:rPr>
        <w:t>et al.</w:t>
      </w:r>
      <w:r w:rsidRPr="001C72A7">
        <w:rPr>
          <w:rFonts w:eastAsia="Times New Roman" w:cs="Times New Roman"/>
          <w:noProof/>
          <w:sz w:val="22"/>
          <w:szCs w:val="22"/>
          <w:lang w:val="en"/>
        </w:rPr>
        <w:t>, 2010; CPAN, 2012; Bahta, Owusu-Sekyere and Tlalang, 2019; FAO, 2019)</w:t>
      </w:r>
      <w:r w:rsidRPr="001C72A7">
        <w:rPr>
          <w:rFonts w:eastAsia="Times New Roman" w:cs="Times New Roman"/>
          <w:sz w:val="22"/>
          <w:szCs w:val="22"/>
          <w:lang w:val="en"/>
        </w:rPr>
        <w:fldChar w:fldCharType="end"/>
      </w:r>
      <w:r w:rsidRPr="001C72A7">
        <w:rPr>
          <w:rFonts w:eastAsia="Times New Roman" w:cs="Times New Roman"/>
          <w:sz w:val="22"/>
          <w:szCs w:val="22"/>
          <w:highlight w:val="white"/>
          <w:lang w:val="en"/>
        </w:rPr>
        <w:t xml:space="preserve">. Through the Malabo Declaration of 2014, the African Union Commission (AUC) reaffirmed their commitment to comprehensive agriculture reform articulated in the Comprehensive Africa Agriculture Development Programme (CAADP) a decade earlier. They also urged their countries to end hunger and halve poverty by 2025. Part of this commitment entails enhancing the resilience of livelihoods and food production systems to climate change and other political and economic shocks </w:t>
      </w:r>
      <w:r w:rsidRPr="001C72A7">
        <w:rPr>
          <w:rFonts w:eastAsia="Times New Roman" w:cs="Times New Roman"/>
          <w:sz w:val="22"/>
          <w:szCs w:val="22"/>
          <w:highlight w:val="white"/>
          <w:lang w:val="en"/>
        </w:rPr>
        <w:fldChar w:fldCharType="begin" w:fldLock="1"/>
      </w:r>
      <w:r w:rsidRPr="001C72A7">
        <w:rPr>
          <w:rFonts w:eastAsia="Times New Roman" w:cs="Times New Roman"/>
          <w:sz w:val="22"/>
          <w:szCs w:val="22"/>
          <w:highlight w:val="white"/>
          <w:lang w:val="en"/>
        </w:rPr>
        <w:instrText>ADDIN CSL_CITATION {"citationItems":[{"id":"ITEM-1","itemData":{"author":[{"dropping-particle":"","family":"AUC","given":"","non-dropping-particle":"","parse-names":false,"suffix":""}],"container-title":"Addis Ababa, Ethiopia: AUC","id":"ITEM-1","issued":{"date-parts":[["2014"]]},"title":"Malabo Declaration on Accelerated Agricultural Growth and Transformation for Shared Prosperity and Improved Livelihoods","type":"article-journal"},"uris":["http://www.mendeley.com/documents/?uuid=fda558e2-5634-46a0-95c6-7c150f85453a"]}],"mendeley":{"formattedCitation":"(AUC, 2014)","plainTextFormattedCitation":"(AUC, 2014)","previouslyFormattedCitation":"(AUC, 2014)"},"properties":{"noteIndex":0},"schema":"https://github.com/citation-style-language/schema/raw/master/csl-citation.json"}</w:instrText>
      </w:r>
      <w:r w:rsidRPr="001C72A7">
        <w:rPr>
          <w:rFonts w:eastAsia="Times New Roman" w:cs="Times New Roman"/>
          <w:sz w:val="22"/>
          <w:szCs w:val="22"/>
          <w:highlight w:val="white"/>
          <w:lang w:val="en"/>
        </w:rPr>
        <w:fldChar w:fldCharType="separate"/>
      </w:r>
      <w:r w:rsidRPr="001C72A7">
        <w:rPr>
          <w:rFonts w:eastAsia="Times New Roman" w:cs="Times New Roman"/>
          <w:noProof/>
          <w:sz w:val="22"/>
          <w:szCs w:val="22"/>
          <w:highlight w:val="white"/>
          <w:lang w:val="en"/>
        </w:rPr>
        <w:t>(AUC, 2014)</w:t>
      </w:r>
      <w:r w:rsidRPr="001C72A7">
        <w:rPr>
          <w:rFonts w:eastAsia="Times New Roman" w:cs="Times New Roman"/>
          <w:sz w:val="22"/>
          <w:szCs w:val="22"/>
          <w:highlight w:val="white"/>
          <w:lang w:val="en"/>
        </w:rPr>
        <w:fldChar w:fldCharType="end"/>
      </w:r>
      <w:r w:rsidRPr="001C72A7">
        <w:rPr>
          <w:rFonts w:eastAsia="Times New Roman" w:cs="Times New Roman"/>
          <w:sz w:val="22"/>
          <w:szCs w:val="22"/>
          <w:highlight w:val="white"/>
          <w:lang w:val="en"/>
        </w:rPr>
        <w:t xml:space="preserve">. </w:t>
      </w:r>
    </w:p>
    <w:p w:rsidR="001C72A7" w:rsidRPr="001C72A7" w:rsidRDefault="001C72A7" w:rsidP="001C72A7">
      <w:pPr>
        <w:spacing w:line="360" w:lineRule="auto"/>
        <w:rPr>
          <w:rFonts w:eastAsia="Times New Roman" w:cs="Times New Roman"/>
          <w:sz w:val="22"/>
          <w:szCs w:val="22"/>
          <w:lang w:val="en"/>
        </w:rPr>
      </w:pPr>
      <w:r w:rsidRPr="001C72A7">
        <w:rPr>
          <w:rFonts w:eastAsia="Times New Roman" w:cs="Times New Roman"/>
          <w:sz w:val="22"/>
          <w:szCs w:val="22"/>
          <w:lang w:val="en"/>
        </w:rPr>
        <w:t>In terms of scholarship</w:t>
      </w:r>
      <w:r w:rsidRPr="001C72A7">
        <w:rPr>
          <w:rFonts w:eastAsia="Times New Roman" w:cs="Times New Roman"/>
          <w:b/>
          <w:sz w:val="22"/>
          <w:szCs w:val="22"/>
          <w:lang w:val="en"/>
        </w:rPr>
        <w:t xml:space="preserve">, </w:t>
      </w:r>
      <w:r w:rsidRPr="001C72A7">
        <w:rPr>
          <w:rFonts w:eastAsia="Times New Roman" w:cs="Times New Roman"/>
          <w:sz w:val="22"/>
          <w:szCs w:val="22"/>
          <w:lang w:val="en"/>
        </w:rPr>
        <w:t>there remains the need f</w:t>
      </w:r>
      <w:r w:rsidR="00215F0B">
        <w:rPr>
          <w:rFonts w:eastAsia="Times New Roman" w:cs="Times New Roman"/>
          <w:sz w:val="22"/>
          <w:szCs w:val="22"/>
          <w:lang w:val="en"/>
        </w:rPr>
        <w:t>or urgent efforts to strengthen</w:t>
      </w:r>
      <w:r w:rsidRPr="001C72A7">
        <w:rPr>
          <w:rFonts w:eastAsia="Times New Roman" w:cs="Times New Roman"/>
          <w:sz w:val="22"/>
          <w:szCs w:val="22"/>
          <w:highlight w:val="white"/>
          <w:lang w:val="en"/>
        </w:rPr>
        <w:t xml:space="preserve"> mechanisms for tracking the milestones realized within the SDG agenda using rigorous statistical procedures. This may involve looking </w:t>
      </w:r>
      <w:r w:rsidRPr="001C72A7">
        <w:rPr>
          <w:rFonts w:eastAsia="Times New Roman" w:cs="Times New Roman"/>
          <w:sz w:val="22"/>
          <w:szCs w:val="22"/>
          <w:lang w:val="en"/>
        </w:rPr>
        <w:t>beyond outcomes, to thinking broadly about the correlates of child hunger and malnutrition. The pathways framework may be useful in framing a contextual understanding of the issue. This framework may also be effective in highlighting crit</w:t>
      </w:r>
      <w:r w:rsidR="00215F0B">
        <w:rPr>
          <w:rFonts w:eastAsia="Times New Roman" w:cs="Times New Roman"/>
          <w:sz w:val="22"/>
          <w:szCs w:val="22"/>
          <w:lang w:val="en"/>
        </w:rPr>
        <w:t xml:space="preserve">ical intervention points at the </w:t>
      </w:r>
      <w:r w:rsidRPr="001C72A7">
        <w:rPr>
          <w:rFonts w:eastAsia="Times New Roman" w:cs="Times New Roman"/>
          <w:sz w:val="22"/>
          <w:szCs w:val="22"/>
          <w:lang w:val="en"/>
        </w:rPr>
        <w:t>contextual/environmental, caregiver or nutritional levels. For example, as suggested by the literature, improving maternal health may be an effective way of addressing child nutrition and other outcomes. Doing this effectively, requires creativity in working with limited data which is reflective of the social reality in sub-Saharan Africa. This observation underscores the need for research collaboration between government agencies and institutions of higher learning to enhance the rigor of research and support collection of comprehensive data. Generally,</w:t>
      </w:r>
      <w:r w:rsidRPr="001C72A7">
        <w:rPr>
          <w:rFonts w:eastAsia="Times New Roman" w:cs="Times New Roman"/>
          <w:b/>
          <w:sz w:val="22"/>
          <w:szCs w:val="22"/>
          <w:lang w:val="en"/>
        </w:rPr>
        <w:t xml:space="preserve"> </w:t>
      </w:r>
      <w:r w:rsidRPr="001C72A7">
        <w:rPr>
          <w:rFonts w:eastAsia="Times New Roman" w:cs="Times New Roman"/>
          <w:sz w:val="22"/>
          <w:szCs w:val="22"/>
          <w:lang w:val="en"/>
        </w:rPr>
        <w:t xml:space="preserve">practitioners tend to focus on outcomes and interventions connected to these outcomes. However, the pathways framework to food insecurity suggest indirect leverage points. Overcoming child-level adverse outcomes may also require a reframing of mindsets at the community level - this may involve addressing the culture of vulnerability and dependence that characterize many communities in sub-Saharan Africa. </w:t>
      </w:r>
    </w:p>
    <w:p w:rsidR="001C72A7" w:rsidRPr="001C72A7" w:rsidRDefault="001C72A7" w:rsidP="001C72A7">
      <w:pPr>
        <w:spacing w:line="360" w:lineRule="auto"/>
        <w:rPr>
          <w:rFonts w:eastAsia="Times New Roman" w:cs="Times New Roman"/>
          <w:sz w:val="22"/>
          <w:szCs w:val="22"/>
          <w:lang w:val="en"/>
        </w:rPr>
      </w:pPr>
      <w:r w:rsidRPr="001C72A7">
        <w:rPr>
          <w:rFonts w:eastAsia="Times New Roman" w:cs="Times New Roman"/>
          <w:sz w:val="22"/>
          <w:szCs w:val="22"/>
          <w:lang w:val="en"/>
        </w:rPr>
        <w:t xml:space="preserve">In closing, we acknowledge the modest scope of this exploratory descriptive study, to benchmark and highlight progress or lack thereof, with respect to four of the nine indicators under SDG2 (Zero Hunger) - Prevalence of undernourishment, Prevalence of stunting, Prevalence of malnutrition, and Prevalence of food insecurity in sub-Saharan Africa. Observations made in this study draw attention to the issue of hunger and malnutrition among children in sub-Saharan Africa; the leading cause of death among children under the age of five </w:t>
      </w:r>
      <w:r w:rsidRPr="001C72A7">
        <w:rPr>
          <w:rFonts w:eastAsia="Times New Roman" w:cs="Times New Roman"/>
          <w:sz w:val="22"/>
          <w:szCs w:val="22"/>
          <w:lang w:val="en"/>
        </w:rPr>
        <w:fldChar w:fldCharType="begin" w:fldLock="1"/>
      </w:r>
      <w:r w:rsidRPr="001C72A7">
        <w:rPr>
          <w:rFonts w:eastAsia="Times New Roman" w:cs="Times New Roman"/>
          <w:sz w:val="22"/>
          <w:szCs w:val="22"/>
          <w:lang w:val="en"/>
        </w:rPr>
        <w:instrText>ADDIN CSL_CITATION {"citationItems":[{"id":"ITEM-1","itemData":{"DOI":"https://doi.org/10.1371/journal. pone.0177338","ISBN":"1111111111","PMID":"12178516","author":[{"dropping-particle":"","family":"Akombi","given":"Blessing J.","non-dropping-particle":"","parse-names":false,"suffix":""},{"dropping-particle":"","family":"Agho","given":"Kingsley E.","non-dropping-particle":"","parse-names":false,"suffix":""},{"dropping-particle":"","family":"Merom","given":"Dafna","non-dropping-particle":"","parse-names":false,"suffix":""},{"dropping-particle":"","family":"Renzaho","given":"Andre M.","non-dropping-particle":"","parse-names":false,"suffix":""},{"dropping-particle":"","family":"Hall","given":"John J.","non-dropping-particle":"","parse-names":false,"suffix":""}],"container-title":"PLoS ONE","id":"ITEM-1","issue":"5","issued":{"date-parts":[["2017"]]},"title":"Child malnutrition in sub-Saharan Africa: A meta-analysis of demographic and health surveys (2006-2016)","type":"article-journal","volume":"12"},"uris":["http://www.mendeley.com/documents/?uuid=c619500c-0d21-4323-937f-82954cca6b7c"]}],"mendeley":{"formattedCitation":"(Akombi &lt;i&gt;et al.&lt;/i&gt;, 2017)","plainTextFormattedCitation":"(Akombi et al., 2017)","previouslyFormattedCitation":"(Akombi &lt;i&gt;et al.&lt;/i&gt;, 2017)"},"properties":{"noteIndex":0},"schema":"https://github.com/citation-style-language/schema/raw/master/csl-citation.json"}</w:instrText>
      </w:r>
      <w:r w:rsidRPr="001C72A7">
        <w:rPr>
          <w:rFonts w:eastAsia="Times New Roman" w:cs="Times New Roman"/>
          <w:sz w:val="22"/>
          <w:szCs w:val="22"/>
          <w:lang w:val="en"/>
        </w:rPr>
        <w:fldChar w:fldCharType="separate"/>
      </w:r>
      <w:r w:rsidRPr="001C72A7">
        <w:rPr>
          <w:rFonts w:eastAsia="Times New Roman" w:cs="Times New Roman"/>
          <w:noProof/>
          <w:sz w:val="22"/>
          <w:szCs w:val="22"/>
          <w:lang w:val="en"/>
        </w:rPr>
        <w:t xml:space="preserve">(Akombi </w:t>
      </w:r>
      <w:r w:rsidRPr="001C72A7">
        <w:rPr>
          <w:rFonts w:eastAsia="Times New Roman" w:cs="Times New Roman"/>
          <w:i/>
          <w:noProof/>
          <w:sz w:val="22"/>
          <w:szCs w:val="22"/>
          <w:lang w:val="en"/>
        </w:rPr>
        <w:t>et al.</w:t>
      </w:r>
      <w:r w:rsidRPr="001C72A7">
        <w:rPr>
          <w:rFonts w:eastAsia="Times New Roman" w:cs="Times New Roman"/>
          <w:noProof/>
          <w:sz w:val="22"/>
          <w:szCs w:val="22"/>
          <w:lang w:val="en"/>
        </w:rPr>
        <w:t>, 2017)</w:t>
      </w:r>
      <w:r w:rsidRPr="001C72A7">
        <w:rPr>
          <w:rFonts w:eastAsia="Times New Roman" w:cs="Times New Roman"/>
          <w:sz w:val="22"/>
          <w:szCs w:val="22"/>
          <w:lang w:val="en"/>
        </w:rPr>
        <w:fldChar w:fldCharType="end"/>
      </w:r>
      <w:r w:rsidRPr="001C72A7">
        <w:rPr>
          <w:rFonts w:eastAsia="Times New Roman" w:cs="Times New Roman"/>
          <w:sz w:val="22"/>
          <w:szCs w:val="22"/>
          <w:lang w:val="en"/>
        </w:rPr>
        <w:t>. Further, observations made in this study call to action social actors including civil society and particularly the profession of social work by drawing attention to time sensitive targets set by the SDGs agenda on amelioration of the problem of hunger and malnutrition especially among children under the age of five. Social Workers are well positioned to guide this effort through practice, scholarship and policy advocacy and reaffirming our professional commitment to social justice, dignity, and the worth of a person beginning with early childhood.</w:t>
      </w:r>
    </w:p>
    <w:p w:rsidR="001C72A7" w:rsidRPr="001C72A7" w:rsidRDefault="001C72A7" w:rsidP="00215F0B">
      <w:pPr>
        <w:spacing w:before="240" w:after="240" w:line="360" w:lineRule="auto"/>
        <w:rPr>
          <w:rFonts w:eastAsia="Times New Roman" w:cs="Times New Roman"/>
          <w:b/>
          <w:sz w:val="22"/>
          <w:szCs w:val="22"/>
          <w:lang w:val="en"/>
        </w:rPr>
      </w:pPr>
      <w:r w:rsidRPr="001C72A7">
        <w:rPr>
          <w:rFonts w:eastAsia="Times New Roman" w:cs="Times New Roman"/>
          <w:b/>
          <w:sz w:val="22"/>
          <w:szCs w:val="22"/>
          <w:lang w:val="en"/>
        </w:rPr>
        <w:t>References</w:t>
      </w:r>
    </w:p>
    <w:p w:rsidR="001C72A7" w:rsidRPr="001C72A7" w:rsidRDefault="001C72A7" w:rsidP="001C72A7">
      <w:pPr>
        <w:widowControl w:val="0"/>
        <w:autoSpaceDE w:val="0"/>
        <w:autoSpaceDN w:val="0"/>
        <w:adjustRightInd w:val="0"/>
        <w:spacing w:before="240" w:after="240" w:line="360" w:lineRule="auto"/>
        <w:rPr>
          <w:rFonts w:eastAsia="Arial" w:cs="Times New Roman"/>
          <w:noProof/>
          <w:sz w:val="22"/>
          <w:szCs w:val="22"/>
          <w:lang w:val="en"/>
        </w:rPr>
      </w:pPr>
      <w:r w:rsidRPr="001C72A7">
        <w:rPr>
          <w:rFonts w:eastAsia="Times New Roman" w:cs="Times New Roman"/>
          <w:b/>
          <w:sz w:val="22"/>
          <w:szCs w:val="22"/>
          <w:lang w:val="en"/>
        </w:rPr>
        <w:fldChar w:fldCharType="begin" w:fldLock="1"/>
      </w:r>
      <w:r w:rsidRPr="001C72A7">
        <w:rPr>
          <w:rFonts w:eastAsia="Times New Roman" w:cs="Times New Roman"/>
          <w:b/>
          <w:sz w:val="22"/>
          <w:szCs w:val="22"/>
          <w:lang w:val="en"/>
        </w:rPr>
        <w:instrText xml:space="preserve">ADDIN Mendeley Bibliography CSL_BIBLIOGRAPHY </w:instrText>
      </w:r>
      <w:r w:rsidRPr="001C72A7">
        <w:rPr>
          <w:rFonts w:eastAsia="Times New Roman" w:cs="Times New Roman"/>
          <w:b/>
          <w:sz w:val="22"/>
          <w:szCs w:val="22"/>
          <w:lang w:val="en"/>
        </w:rPr>
        <w:fldChar w:fldCharType="separate"/>
      </w:r>
      <w:r w:rsidRPr="001C72A7">
        <w:rPr>
          <w:rFonts w:eastAsia="Arial" w:cs="Times New Roman"/>
          <w:noProof/>
          <w:sz w:val="22"/>
          <w:szCs w:val="22"/>
          <w:lang w:val="en"/>
        </w:rPr>
        <w:t xml:space="preserve">Akombi, B. J. </w:t>
      </w:r>
      <w:r w:rsidRPr="001C72A7">
        <w:rPr>
          <w:rFonts w:eastAsia="Arial" w:cs="Times New Roman"/>
          <w:i/>
          <w:iCs/>
          <w:noProof/>
          <w:sz w:val="22"/>
          <w:szCs w:val="22"/>
          <w:lang w:val="en"/>
        </w:rPr>
        <w:t>et al.</w:t>
      </w:r>
      <w:r w:rsidRPr="001C72A7">
        <w:rPr>
          <w:rFonts w:eastAsia="Arial" w:cs="Times New Roman"/>
          <w:noProof/>
          <w:sz w:val="22"/>
          <w:szCs w:val="22"/>
          <w:lang w:val="en"/>
        </w:rPr>
        <w:t xml:space="preserve"> (2017) ‘Child malnutrition in sub-Saharan Africa: A meta-analysis of demographic and health surveys (2006-2016)’, </w:t>
      </w:r>
      <w:r w:rsidRPr="001C72A7">
        <w:rPr>
          <w:rFonts w:eastAsia="Arial" w:cs="Times New Roman"/>
          <w:i/>
          <w:iCs/>
          <w:noProof/>
          <w:sz w:val="22"/>
          <w:szCs w:val="22"/>
          <w:lang w:val="en"/>
        </w:rPr>
        <w:t>PLoS ONE</w:t>
      </w:r>
      <w:r w:rsidRPr="001C72A7">
        <w:rPr>
          <w:rFonts w:eastAsia="Arial" w:cs="Times New Roman"/>
          <w:noProof/>
          <w:sz w:val="22"/>
          <w:szCs w:val="22"/>
          <w:lang w:val="en"/>
        </w:rPr>
        <w:t>, 12(5). doi: https://doi.org/10.1371/journal. pone.0177338.</w:t>
      </w:r>
    </w:p>
    <w:p w:rsidR="001C72A7" w:rsidRPr="001C72A7" w:rsidRDefault="001C72A7" w:rsidP="001C72A7">
      <w:pPr>
        <w:widowControl w:val="0"/>
        <w:autoSpaceDE w:val="0"/>
        <w:autoSpaceDN w:val="0"/>
        <w:adjustRightInd w:val="0"/>
        <w:spacing w:before="240" w:after="240" w:line="360" w:lineRule="auto"/>
        <w:rPr>
          <w:rFonts w:eastAsia="Arial" w:cs="Times New Roman"/>
          <w:noProof/>
          <w:sz w:val="22"/>
          <w:szCs w:val="22"/>
          <w:lang w:val="en"/>
        </w:rPr>
      </w:pPr>
      <w:r w:rsidRPr="001C72A7">
        <w:rPr>
          <w:rFonts w:eastAsia="Arial" w:cs="Times New Roman"/>
          <w:noProof/>
          <w:sz w:val="22"/>
          <w:szCs w:val="22"/>
          <w:lang w:val="en"/>
        </w:rPr>
        <w:t xml:space="preserve">AUC (2014) ‘Malabo Declaration on Accelerated Agricultural Growth and Transformation for Shared Prosperity and Improved Livelihoods’, </w:t>
      </w:r>
      <w:r w:rsidRPr="001C72A7">
        <w:rPr>
          <w:rFonts w:eastAsia="Arial" w:cs="Times New Roman"/>
          <w:i/>
          <w:iCs/>
          <w:noProof/>
          <w:sz w:val="22"/>
          <w:szCs w:val="22"/>
          <w:lang w:val="en"/>
        </w:rPr>
        <w:t>Addis Ababa, Ethiopia: AUC</w:t>
      </w:r>
      <w:r w:rsidRPr="001C72A7">
        <w:rPr>
          <w:rFonts w:eastAsia="Arial" w:cs="Times New Roman"/>
          <w:noProof/>
          <w:sz w:val="22"/>
          <w:szCs w:val="22"/>
          <w:lang w:val="en"/>
        </w:rPr>
        <w:t>.</w:t>
      </w:r>
    </w:p>
    <w:p w:rsidR="001C72A7" w:rsidRPr="001C72A7" w:rsidRDefault="001C72A7" w:rsidP="001C72A7">
      <w:pPr>
        <w:widowControl w:val="0"/>
        <w:autoSpaceDE w:val="0"/>
        <w:autoSpaceDN w:val="0"/>
        <w:adjustRightInd w:val="0"/>
        <w:spacing w:before="240" w:after="240" w:line="360" w:lineRule="auto"/>
        <w:rPr>
          <w:rFonts w:eastAsia="Arial" w:cs="Times New Roman"/>
          <w:noProof/>
          <w:sz w:val="22"/>
          <w:szCs w:val="22"/>
          <w:lang w:val="en"/>
        </w:rPr>
      </w:pPr>
      <w:r w:rsidRPr="001C72A7">
        <w:rPr>
          <w:rFonts w:eastAsia="Arial" w:cs="Times New Roman"/>
          <w:noProof/>
          <w:sz w:val="22"/>
          <w:szCs w:val="22"/>
          <w:lang w:val="en"/>
        </w:rPr>
        <w:t xml:space="preserve">Bahta, Y. T., Owusu-Sekyere, E. and Tlalang, B. (2019) ‘Does women’s empowerment through policy intervention reduce food insecurity in South Africa?’, </w:t>
      </w:r>
      <w:r w:rsidRPr="001C72A7">
        <w:rPr>
          <w:rFonts w:eastAsia="Arial" w:cs="Times New Roman"/>
          <w:i/>
          <w:iCs/>
          <w:noProof/>
          <w:sz w:val="22"/>
          <w:szCs w:val="22"/>
          <w:lang w:val="en"/>
        </w:rPr>
        <w:t>Development in Practice</w:t>
      </w:r>
      <w:r w:rsidRPr="001C72A7">
        <w:rPr>
          <w:rFonts w:eastAsia="Arial" w:cs="Times New Roman"/>
          <w:noProof/>
          <w:sz w:val="22"/>
          <w:szCs w:val="22"/>
          <w:lang w:val="en"/>
        </w:rPr>
        <w:t>. Routledge, 29(1), pp. 3–14. doi: 10.1080/09614524.2018.1512952.</w:t>
      </w:r>
    </w:p>
    <w:p w:rsidR="001C72A7" w:rsidRPr="001C72A7" w:rsidRDefault="001C72A7" w:rsidP="001C72A7">
      <w:pPr>
        <w:widowControl w:val="0"/>
        <w:autoSpaceDE w:val="0"/>
        <w:autoSpaceDN w:val="0"/>
        <w:adjustRightInd w:val="0"/>
        <w:spacing w:before="240" w:after="240" w:line="360" w:lineRule="auto"/>
        <w:rPr>
          <w:rFonts w:eastAsia="Arial" w:cs="Times New Roman"/>
          <w:noProof/>
          <w:sz w:val="22"/>
          <w:szCs w:val="22"/>
          <w:lang w:val="en"/>
        </w:rPr>
      </w:pPr>
      <w:r w:rsidRPr="001C72A7">
        <w:rPr>
          <w:rFonts w:eastAsia="Arial" w:cs="Times New Roman"/>
          <w:noProof/>
          <w:sz w:val="22"/>
          <w:szCs w:val="22"/>
          <w:lang w:val="en"/>
        </w:rPr>
        <w:t xml:space="preserve">Bhutta, Z. A. </w:t>
      </w:r>
      <w:r w:rsidRPr="001C72A7">
        <w:rPr>
          <w:rFonts w:eastAsia="Arial" w:cs="Times New Roman"/>
          <w:i/>
          <w:iCs/>
          <w:noProof/>
          <w:sz w:val="22"/>
          <w:szCs w:val="22"/>
          <w:lang w:val="en"/>
        </w:rPr>
        <w:t>et al.</w:t>
      </w:r>
      <w:r w:rsidRPr="001C72A7">
        <w:rPr>
          <w:rFonts w:eastAsia="Arial" w:cs="Times New Roman"/>
          <w:noProof/>
          <w:sz w:val="22"/>
          <w:szCs w:val="22"/>
          <w:lang w:val="en"/>
        </w:rPr>
        <w:t xml:space="preserve"> (2013) ‘Evidence-based interventions for improvement of maternal and child nutrition: What can be done and at what cost?’, </w:t>
      </w:r>
      <w:r w:rsidRPr="001C72A7">
        <w:rPr>
          <w:rFonts w:eastAsia="Arial" w:cs="Times New Roman"/>
          <w:i/>
          <w:iCs/>
          <w:noProof/>
          <w:sz w:val="22"/>
          <w:szCs w:val="22"/>
          <w:lang w:val="en"/>
        </w:rPr>
        <w:t>The Lancet</w:t>
      </w:r>
      <w:r w:rsidRPr="001C72A7">
        <w:rPr>
          <w:rFonts w:eastAsia="Arial" w:cs="Times New Roman"/>
          <w:noProof/>
          <w:sz w:val="22"/>
          <w:szCs w:val="22"/>
          <w:lang w:val="en"/>
        </w:rPr>
        <w:t>, 382(9890), pp. 452–477. doi: 10.1016/S0140-6736(13)60996-4.</w:t>
      </w:r>
    </w:p>
    <w:p w:rsidR="001C72A7" w:rsidRPr="001C72A7" w:rsidRDefault="001C72A7" w:rsidP="001C72A7">
      <w:pPr>
        <w:widowControl w:val="0"/>
        <w:autoSpaceDE w:val="0"/>
        <w:autoSpaceDN w:val="0"/>
        <w:adjustRightInd w:val="0"/>
        <w:spacing w:before="240" w:after="240" w:line="360" w:lineRule="auto"/>
        <w:rPr>
          <w:rFonts w:eastAsia="Arial" w:cs="Times New Roman"/>
          <w:noProof/>
          <w:sz w:val="22"/>
          <w:szCs w:val="22"/>
          <w:lang w:val="en"/>
        </w:rPr>
      </w:pPr>
      <w:r w:rsidRPr="001C72A7">
        <w:rPr>
          <w:rFonts w:eastAsia="Arial" w:cs="Times New Roman"/>
          <w:noProof/>
          <w:sz w:val="22"/>
          <w:szCs w:val="22"/>
          <w:lang w:val="en"/>
        </w:rPr>
        <w:t xml:space="preserve">Black, M. (2012) </w:t>
      </w:r>
      <w:r w:rsidRPr="001C72A7">
        <w:rPr>
          <w:rFonts w:eastAsia="Arial" w:cs="Times New Roman"/>
          <w:i/>
          <w:iCs/>
          <w:noProof/>
          <w:sz w:val="22"/>
          <w:szCs w:val="22"/>
          <w:lang w:val="en"/>
        </w:rPr>
        <w:t>Household food insecurities: Threats to children’s well-being</w:t>
      </w:r>
      <w:r w:rsidRPr="001C72A7">
        <w:rPr>
          <w:rFonts w:eastAsia="Arial" w:cs="Times New Roman"/>
          <w:noProof/>
          <w:sz w:val="22"/>
          <w:szCs w:val="22"/>
          <w:lang w:val="en"/>
        </w:rPr>
        <w:t xml:space="preserve">, </w:t>
      </w:r>
      <w:r w:rsidRPr="001C72A7">
        <w:rPr>
          <w:rFonts w:eastAsia="Arial" w:cs="Times New Roman"/>
          <w:i/>
          <w:iCs/>
          <w:noProof/>
          <w:sz w:val="22"/>
          <w:szCs w:val="22"/>
          <w:lang w:val="en"/>
        </w:rPr>
        <w:t>American Psychological Association: The SES indicator</w:t>
      </w:r>
      <w:r w:rsidRPr="001C72A7">
        <w:rPr>
          <w:rFonts w:eastAsia="Arial" w:cs="Times New Roman"/>
          <w:noProof/>
          <w:sz w:val="22"/>
          <w:szCs w:val="22"/>
          <w:lang w:val="en"/>
        </w:rPr>
        <w:t>. Available at: https://www.apa.org/pi/ses/resources/indicator/2012/06/household-food-insecurities (Accessed: 13 June 2020).</w:t>
      </w:r>
    </w:p>
    <w:p w:rsidR="001C72A7" w:rsidRPr="001C72A7" w:rsidRDefault="001C72A7" w:rsidP="001C72A7">
      <w:pPr>
        <w:widowControl w:val="0"/>
        <w:autoSpaceDE w:val="0"/>
        <w:autoSpaceDN w:val="0"/>
        <w:adjustRightInd w:val="0"/>
        <w:spacing w:before="240" w:after="240" w:line="360" w:lineRule="auto"/>
        <w:rPr>
          <w:rFonts w:eastAsia="Arial" w:cs="Times New Roman"/>
          <w:noProof/>
          <w:sz w:val="22"/>
          <w:szCs w:val="22"/>
          <w:lang w:val="en"/>
        </w:rPr>
      </w:pPr>
      <w:r w:rsidRPr="001C72A7">
        <w:rPr>
          <w:rFonts w:eastAsia="Arial" w:cs="Times New Roman"/>
          <w:noProof/>
          <w:sz w:val="22"/>
          <w:szCs w:val="22"/>
          <w:lang w:val="en"/>
        </w:rPr>
        <w:t xml:space="preserve">Black, M. M. </w:t>
      </w:r>
      <w:r w:rsidRPr="001C72A7">
        <w:rPr>
          <w:rFonts w:eastAsia="Arial" w:cs="Times New Roman"/>
          <w:i/>
          <w:iCs/>
          <w:noProof/>
          <w:sz w:val="22"/>
          <w:szCs w:val="22"/>
          <w:lang w:val="en"/>
        </w:rPr>
        <w:t>et al.</w:t>
      </w:r>
      <w:r w:rsidRPr="001C72A7">
        <w:rPr>
          <w:rFonts w:eastAsia="Arial" w:cs="Times New Roman"/>
          <w:noProof/>
          <w:sz w:val="22"/>
          <w:szCs w:val="22"/>
          <w:lang w:val="en"/>
        </w:rPr>
        <w:t xml:space="preserve"> (2012) ‘WIC participation and attenuation of stress-related child health risks of household food insecurity and caregiver depressive symptoms’, </w:t>
      </w:r>
      <w:r w:rsidRPr="001C72A7">
        <w:rPr>
          <w:rFonts w:eastAsia="Arial" w:cs="Times New Roman"/>
          <w:i/>
          <w:iCs/>
          <w:noProof/>
          <w:sz w:val="22"/>
          <w:szCs w:val="22"/>
          <w:lang w:val="en"/>
        </w:rPr>
        <w:t>Archives of Pediatrics and Adolescent Medicine</w:t>
      </w:r>
      <w:r w:rsidRPr="001C72A7">
        <w:rPr>
          <w:rFonts w:eastAsia="Arial" w:cs="Times New Roman"/>
          <w:noProof/>
          <w:sz w:val="22"/>
          <w:szCs w:val="22"/>
          <w:lang w:val="en"/>
        </w:rPr>
        <w:t>, 166(5), pp. 444–451. doi: 10.1001/archpediatrics.2012.1.</w:t>
      </w:r>
    </w:p>
    <w:p w:rsidR="001C72A7" w:rsidRPr="001C72A7" w:rsidRDefault="001C72A7" w:rsidP="001C72A7">
      <w:pPr>
        <w:widowControl w:val="0"/>
        <w:autoSpaceDE w:val="0"/>
        <w:autoSpaceDN w:val="0"/>
        <w:adjustRightInd w:val="0"/>
        <w:spacing w:before="240" w:after="240" w:line="360" w:lineRule="auto"/>
        <w:rPr>
          <w:rFonts w:eastAsia="Arial" w:cs="Times New Roman"/>
          <w:noProof/>
          <w:sz w:val="22"/>
          <w:szCs w:val="22"/>
          <w:lang w:val="en"/>
        </w:rPr>
      </w:pPr>
      <w:r w:rsidRPr="001C72A7">
        <w:rPr>
          <w:rFonts w:eastAsia="Arial" w:cs="Times New Roman"/>
          <w:noProof/>
          <w:sz w:val="22"/>
          <w:szCs w:val="22"/>
          <w:lang w:val="en"/>
        </w:rPr>
        <w:t xml:space="preserve">Blesh, J. </w:t>
      </w:r>
      <w:r w:rsidRPr="001C72A7">
        <w:rPr>
          <w:rFonts w:eastAsia="Arial" w:cs="Times New Roman"/>
          <w:i/>
          <w:iCs/>
          <w:noProof/>
          <w:sz w:val="22"/>
          <w:szCs w:val="22"/>
          <w:lang w:val="en"/>
        </w:rPr>
        <w:t>et al.</w:t>
      </w:r>
      <w:r w:rsidRPr="001C72A7">
        <w:rPr>
          <w:rFonts w:eastAsia="Arial" w:cs="Times New Roman"/>
          <w:noProof/>
          <w:sz w:val="22"/>
          <w:szCs w:val="22"/>
          <w:lang w:val="en"/>
        </w:rPr>
        <w:t xml:space="preserve"> (2019) ‘Development pathways toward “zero hunger”’, </w:t>
      </w:r>
      <w:r w:rsidRPr="001C72A7">
        <w:rPr>
          <w:rFonts w:eastAsia="Arial" w:cs="Times New Roman"/>
          <w:i/>
          <w:iCs/>
          <w:noProof/>
          <w:sz w:val="22"/>
          <w:szCs w:val="22"/>
          <w:lang w:val="en"/>
        </w:rPr>
        <w:t>World Development</w:t>
      </w:r>
      <w:r w:rsidRPr="001C72A7">
        <w:rPr>
          <w:rFonts w:eastAsia="Arial" w:cs="Times New Roman"/>
          <w:noProof/>
          <w:sz w:val="22"/>
          <w:szCs w:val="22"/>
          <w:lang w:val="en"/>
        </w:rPr>
        <w:t>, 118, pp. 1–14. doi: 10.1016/j.worlddev.2019.02.004.</w:t>
      </w:r>
    </w:p>
    <w:p w:rsidR="001C72A7" w:rsidRPr="001C72A7" w:rsidRDefault="001C72A7" w:rsidP="001C72A7">
      <w:pPr>
        <w:widowControl w:val="0"/>
        <w:autoSpaceDE w:val="0"/>
        <w:autoSpaceDN w:val="0"/>
        <w:adjustRightInd w:val="0"/>
        <w:spacing w:before="240" w:after="240" w:line="360" w:lineRule="auto"/>
        <w:rPr>
          <w:rFonts w:eastAsia="Arial" w:cs="Times New Roman"/>
          <w:noProof/>
          <w:sz w:val="22"/>
          <w:szCs w:val="22"/>
          <w:lang w:val="en"/>
        </w:rPr>
      </w:pPr>
      <w:r w:rsidRPr="001C72A7">
        <w:rPr>
          <w:rFonts w:eastAsia="Arial" w:cs="Times New Roman"/>
          <w:noProof/>
          <w:sz w:val="22"/>
          <w:szCs w:val="22"/>
          <w:lang w:val="en"/>
        </w:rPr>
        <w:t xml:space="preserve">Bredenkamp, C., Buisman, L. R. and Van de Poel, E. (2014) ‘Persistent inequalities in child undernutrition: Evidence from 80 countries, from 1990 to today’, </w:t>
      </w:r>
      <w:r w:rsidRPr="001C72A7">
        <w:rPr>
          <w:rFonts w:eastAsia="Arial" w:cs="Times New Roman"/>
          <w:i/>
          <w:iCs/>
          <w:noProof/>
          <w:sz w:val="22"/>
          <w:szCs w:val="22"/>
          <w:lang w:val="en"/>
        </w:rPr>
        <w:t>International Journal of Epidemiology</w:t>
      </w:r>
      <w:r w:rsidRPr="001C72A7">
        <w:rPr>
          <w:rFonts w:eastAsia="Arial" w:cs="Times New Roman"/>
          <w:noProof/>
          <w:sz w:val="22"/>
          <w:szCs w:val="22"/>
          <w:lang w:val="en"/>
        </w:rPr>
        <w:t>, 43(4), pp. 1328–1335. doi: 10.1093/ije/dyu075.</w:t>
      </w:r>
    </w:p>
    <w:p w:rsidR="001C72A7" w:rsidRPr="001C72A7" w:rsidRDefault="001C72A7" w:rsidP="001C72A7">
      <w:pPr>
        <w:widowControl w:val="0"/>
        <w:autoSpaceDE w:val="0"/>
        <w:autoSpaceDN w:val="0"/>
        <w:adjustRightInd w:val="0"/>
        <w:spacing w:before="240" w:after="240" w:line="360" w:lineRule="auto"/>
        <w:rPr>
          <w:rFonts w:eastAsia="Arial" w:cs="Times New Roman"/>
          <w:noProof/>
          <w:sz w:val="22"/>
          <w:szCs w:val="22"/>
          <w:lang w:val="en"/>
        </w:rPr>
      </w:pPr>
      <w:r w:rsidRPr="001C72A7">
        <w:rPr>
          <w:rFonts w:eastAsia="Arial" w:cs="Times New Roman"/>
          <w:noProof/>
          <w:sz w:val="22"/>
          <w:szCs w:val="22"/>
          <w:lang w:val="en"/>
        </w:rPr>
        <w:t xml:space="preserve">Cafiero, C. (2014) ‘Advances in hunger measurement Traditional FAO methods and recent innovations’, </w:t>
      </w:r>
      <w:r w:rsidRPr="001C72A7">
        <w:rPr>
          <w:rFonts w:eastAsia="Arial" w:cs="Times New Roman"/>
          <w:i/>
          <w:iCs/>
          <w:noProof/>
          <w:sz w:val="22"/>
          <w:szCs w:val="22"/>
          <w:lang w:val="en"/>
        </w:rPr>
        <w:t>FAO Statistics Division. Workinng paper Series</w:t>
      </w:r>
      <w:r w:rsidRPr="001C72A7">
        <w:rPr>
          <w:rFonts w:eastAsia="Arial" w:cs="Times New Roman"/>
          <w:noProof/>
          <w:sz w:val="22"/>
          <w:szCs w:val="22"/>
          <w:lang w:val="en"/>
        </w:rPr>
        <w:t>, (ESS/14-04), pp. 1–27.</w:t>
      </w:r>
    </w:p>
    <w:p w:rsidR="001C72A7" w:rsidRPr="001C72A7" w:rsidRDefault="001C72A7" w:rsidP="001C72A7">
      <w:pPr>
        <w:widowControl w:val="0"/>
        <w:autoSpaceDE w:val="0"/>
        <w:autoSpaceDN w:val="0"/>
        <w:adjustRightInd w:val="0"/>
        <w:spacing w:before="240" w:after="240" w:line="360" w:lineRule="auto"/>
        <w:rPr>
          <w:rFonts w:eastAsia="Arial" w:cs="Times New Roman"/>
          <w:noProof/>
          <w:sz w:val="22"/>
          <w:szCs w:val="22"/>
          <w:lang w:val="en"/>
        </w:rPr>
      </w:pPr>
      <w:r w:rsidRPr="001C72A7">
        <w:rPr>
          <w:rFonts w:eastAsia="Arial" w:cs="Times New Roman"/>
          <w:noProof/>
          <w:sz w:val="22"/>
          <w:szCs w:val="22"/>
          <w:lang w:val="en"/>
        </w:rPr>
        <w:t xml:space="preserve">Cook, J. T. and Frank, D. A. (2008) ‘Food security, poverty, and human development in the United States’, </w:t>
      </w:r>
      <w:r w:rsidRPr="001C72A7">
        <w:rPr>
          <w:rFonts w:eastAsia="Arial" w:cs="Times New Roman"/>
          <w:i/>
          <w:iCs/>
          <w:noProof/>
          <w:sz w:val="22"/>
          <w:szCs w:val="22"/>
          <w:lang w:val="en"/>
        </w:rPr>
        <w:t>Annals of the New York Academy of Sciences</w:t>
      </w:r>
      <w:r w:rsidRPr="001C72A7">
        <w:rPr>
          <w:rFonts w:eastAsia="Arial" w:cs="Times New Roman"/>
          <w:noProof/>
          <w:sz w:val="22"/>
          <w:szCs w:val="22"/>
          <w:lang w:val="en"/>
        </w:rPr>
        <w:t>, 1136, pp. 193–209. doi: 10.1196/annals.1425.001.</w:t>
      </w:r>
    </w:p>
    <w:p w:rsidR="001C72A7" w:rsidRPr="001C72A7" w:rsidRDefault="001C72A7" w:rsidP="001C72A7">
      <w:pPr>
        <w:widowControl w:val="0"/>
        <w:autoSpaceDE w:val="0"/>
        <w:autoSpaceDN w:val="0"/>
        <w:adjustRightInd w:val="0"/>
        <w:spacing w:before="240" w:after="240" w:line="360" w:lineRule="auto"/>
        <w:rPr>
          <w:rFonts w:eastAsia="Arial" w:cs="Times New Roman"/>
          <w:noProof/>
          <w:sz w:val="22"/>
          <w:szCs w:val="22"/>
          <w:lang w:val="en"/>
        </w:rPr>
      </w:pPr>
      <w:r w:rsidRPr="001C72A7">
        <w:rPr>
          <w:rFonts w:eastAsia="Arial" w:cs="Times New Roman"/>
          <w:noProof/>
          <w:sz w:val="22"/>
          <w:szCs w:val="22"/>
          <w:lang w:val="en"/>
        </w:rPr>
        <w:t xml:space="preserve">CPAN (2012) </w:t>
      </w:r>
      <w:r w:rsidRPr="001C72A7">
        <w:rPr>
          <w:rFonts w:eastAsia="Arial" w:cs="Times New Roman"/>
          <w:i/>
          <w:iCs/>
          <w:noProof/>
          <w:sz w:val="22"/>
          <w:szCs w:val="22"/>
          <w:lang w:val="en"/>
        </w:rPr>
        <w:t>Agriculture Policy Guide, Meeting the challenge of a new pro-poor agricultural paradigm: The role of agricultural policies and programmes</w:t>
      </w:r>
      <w:r w:rsidRPr="001C72A7">
        <w:rPr>
          <w:rFonts w:eastAsia="Arial" w:cs="Times New Roman"/>
          <w:noProof/>
          <w:sz w:val="22"/>
          <w:szCs w:val="22"/>
          <w:lang w:val="en"/>
        </w:rPr>
        <w:t>. London.</w:t>
      </w:r>
    </w:p>
    <w:p w:rsidR="001C72A7" w:rsidRPr="001C72A7" w:rsidRDefault="001C72A7" w:rsidP="001C72A7">
      <w:pPr>
        <w:widowControl w:val="0"/>
        <w:autoSpaceDE w:val="0"/>
        <w:autoSpaceDN w:val="0"/>
        <w:adjustRightInd w:val="0"/>
        <w:spacing w:before="240" w:after="240" w:line="360" w:lineRule="auto"/>
        <w:rPr>
          <w:rFonts w:eastAsia="Arial" w:cs="Times New Roman"/>
          <w:noProof/>
          <w:sz w:val="22"/>
          <w:szCs w:val="22"/>
          <w:lang w:val="en"/>
        </w:rPr>
      </w:pPr>
      <w:r w:rsidRPr="001C72A7">
        <w:rPr>
          <w:rFonts w:eastAsia="Arial" w:cs="Times New Roman"/>
          <w:noProof/>
          <w:sz w:val="22"/>
          <w:szCs w:val="22"/>
          <w:lang w:val="en"/>
        </w:rPr>
        <w:t xml:space="preserve">Dunning, C. and Kalow, J. (2016) </w:t>
      </w:r>
      <w:r w:rsidRPr="001C72A7">
        <w:rPr>
          <w:rFonts w:eastAsia="Arial" w:cs="Times New Roman"/>
          <w:i/>
          <w:iCs/>
          <w:noProof/>
          <w:sz w:val="22"/>
          <w:szCs w:val="22"/>
          <w:lang w:val="en"/>
        </w:rPr>
        <w:t>SDG Indicators: Serious Gaps Abound in Data Availability | Center For Global Development</w:t>
      </w:r>
      <w:r w:rsidRPr="001C72A7">
        <w:rPr>
          <w:rFonts w:eastAsia="Arial" w:cs="Times New Roman"/>
          <w:noProof/>
          <w:sz w:val="22"/>
          <w:szCs w:val="22"/>
          <w:lang w:val="en"/>
        </w:rPr>
        <w:t xml:space="preserve">, </w:t>
      </w:r>
      <w:r w:rsidRPr="001C72A7">
        <w:rPr>
          <w:rFonts w:eastAsia="Arial" w:cs="Times New Roman"/>
          <w:i/>
          <w:iCs/>
          <w:noProof/>
          <w:sz w:val="22"/>
          <w:szCs w:val="22"/>
          <w:lang w:val="en"/>
        </w:rPr>
        <w:t>Center for Global Development</w:t>
      </w:r>
      <w:r w:rsidRPr="001C72A7">
        <w:rPr>
          <w:rFonts w:eastAsia="Arial" w:cs="Times New Roman"/>
          <w:noProof/>
          <w:sz w:val="22"/>
          <w:szCs w:val="22"/>
          <w:lang w:val="en"/>
        </w:rPr>
        <w:t>. Available at: https://www.cgdev.org/blog/sdg-indicators-serious-gaps-abound-data-availability (Accessed: 13 June 2020).</w:t>
      </w:r>
    </w:p>
    <w:p w:rsidR="001C72A7" w:rsidRPr="001C72A7" w:rsidRDefault="001C72A7" w:rsidP="001C72A7">
      <w:pPr>
        <w:widowControl w:val="0"/>
        <w:autoSpaceDE w:val="0"/>
        <w:autoSpaceDN w:val="0"/>
        <w:adjustRightInd w:val="0"/>
        <w:spacing w:before="240" w:after="240" w:line="360" w:lineRule="auto"/>
        <w:rPr>
          <w:rFonts w:eastAsia="Arial" w:cs="Times New Roman"/>
          <w:noProof/>
          <w:sz w:val="22"/>
          <w:szCs w:val="22"/>
          <w:lang w:val="en"/>
        </w:rPr>
      </w:pPr>
      <w:r w:rsidRPr="001C72A7">
        <w:rPr>
          <w:rFonts w:eastAsia="Arial" w:cs="Times New Roman"/>
          <w:noProof/>
          <w:sz w:val="22"/>
          <w:szCs w:val="22"/>
          <w:lang w:val="en"/>
        </w:rPr>
        <w:t xml:space="preserve">Dureab, F. </w:t>
      </w:r>
      <w:r w:rsidRPr="001C72A7">
        <w:rPr>
          <w:rFonts w:eastAsia="Arial" w:cs="Times New Roman"/>
          <w:i/>
          <w:iCs/>
          <w:noProof/>
          <w:sz w:val="22"/>
          <w:szCs w:val="22"/>
          <w:lang w:val="en"/>
        </w:rPr>
        <w:t>et al.</w:t>
      </w:r>
      <w:r w:rsidRPr="001C72A7">
        <w:rPr>
          <w:rFonts w:eastAsia="Arial" w:cs="Times New Roman"/>
          <w:noProof/>
          <w:sz w:val="22"/>
          <w:szCs w:val="22"/>
          <w:lang w:val="en"/>
        </w:rPr>
        <w:t xml:space="preserve"> (2019) ‘Risk factors associated with the recent cholera outbreak in Yemen: a case-control study’, </w:t>
      </w:r>
      <w:r w:rsidRPr="001C72A7">
        <w:rPr>
          <w:rFonts w:eastAsia="Arial" w:cs="Times New Roman"/>
          <w:i/>
          <w:iCs/>
          <w:noProof/>
          <w:sz w:val="22"/>
          <w:szCs w:val="22"/>
          <w:lang w:val="en"/>
        </w:rPr>
        <w:t>Epidemiology and health</w:t>
      </w:r>
      <w:r w:rsidRPr="001C72A7">
        <w:rPr>
          <w:rFonts w:eastAsia="Arial" w:cs="Times New Roman"/>
          <w:noProof/>
          <w:sz w:val="22"/>
          <w:szCs w:val="22"/>
          <w:lang w:val="en"/>
        </w:rPr>
        <w:t>, 41(March 2015), p. e2019015. doi: 10.4178/epih.e2019015.</w:t>
      </w:r>
    </w:p>
    <w:p w:rsidR="001C72A7" w:rsidRPr="001C72A7" w:rsidRDefault="001C72A7" w:rsidP="001C72A7">
      <w:pPr>
        <w:widowControl w:val="0"/>
        <w:autoSpaceDE w:val="0"/>
        <w:autoSpaceDN w:val="0"/>
        <w:adjustRightInd w:val="0"/>
        <w:spacing w:before="240" w:after="240" w:line="360" w:lineRule="auto"/>
        <w:rPr>
          <w:rFonts w:eastAsia="Arial" w:cs="Times New Roman"/>
          <w:noProof/>
          <w:sz w:val="22"/>
          <w:szCs w:val="22"/>
          <w:lang w:val="en"/>
        </w:rPr>
      </w:pPr>
      <w:r w:rsidRPr="001C72A7">
        <w:rPr>
          <w:rFonts w:eastAsia="Arial" w:cs="Times New Roman"/>
          <w:noProof/>
          <w:sz w:val="22"/>
          <w:szCs w:val="22"/>
          <w:lang w:val="en"/>
        </w:rPr>
        <w:t xml:space="preserve">FAO </w:t>
      </w:r>
      <w:r w:rsidRPr="001C72A7">
        <w:rPr>
          <w:rFonts w:eastAsia="Arial" w:cs="Times New Roman"/>
          <w:i/>
          <w:iCs/>
          <w:noProof/>
          <w:sz w:val="22"/>
          <w:szCs w:val="22"/>
          <w:lang w:val="en"/>
        </w:rPr>
        <w:t>et al.</w:t>
      </w:r>
      <w:r w:rsidRPr="001C72A7">
        <w:rPr>
          <w:rFonts w:eastAsia="Arial" w:cs="Times New Roman"/>
          <w:noProof/>
          <w:sz w:val="22"/>
          <w:szCs w:val="22"/>
          <w:lang w:val="en"/>
        </w:rPr>
        <w:t xml:space="preserve"> (2018) </w:t>
      </w:r>
      <w:r w:rsidRPr="001C72A7">
        <w:rPr>
          <w:rFonts w:eastAsia="Arial" w:cs="Times New Roman"/>
          <w:i/>
          <w:iCs/>
          <w:noProof/>
          <w:sz w:val="22"/>
          <w:szCs w:val="22"/>
          <w:lang w:val="en"/>
        </w:rPr>
        <w:t>The State of Food Security and Nutrition in the World: Building Climate Resilience for Food Security and Nutrition</w:t>
      </w:r>
      <w:r w:rsidRPr="001C72A7">
        <w:rPr>
          <w:rFonts w:eastAsia="Arial" w:cs="Times New Roman"/>
          <w:noProof/>
          <w:sz w:val="22"/>
          <w:szCs w:val="22"/>
          <w:lang w:val="en"/>
        </w:rPr>
        <w:t>.</w:t>
      </w:r>
    </w:p>
    <w:p w:rsidR="001C72A7" w:rsidRPr="001C72A7" w:rsidRDefault="001C72A7" w:rsidP="001C72A7">
      <w:pPr>
        <w:widowControl w:val="0"/>
        <w:autoSpaceDE w:val="0"/>
        <w:autoSpaceDN w:val="0"/>
        <w:adjustRightInd w:val="0"/>
        <w:spacing w:before="240" w:after="240" w:line="360" w:lineRule="auto"/>
        <w:rPr>
          <w:rFonts w:eastAsia="Arial" w:cs="Times New Roman"/>
          <w:noProof/>
          <w:sz w:val="22"/>
          <w:szCs w:val="22"/>
          <w:lang w:val="en"/>
        </w:rPr>
      </w:pPr>
      <w:r w:rsidRPr="001C72A7">
        <w:rPr>
          <w:rFonts w:eastAsia="Arial" w:cs="Times New Roman"/>
          <w:noProof/>
          <w:sz w:val="22"/>
          <w:szCs w:val="22"/>
          <w:lang w:val="en"/>
        </w:rPr>
        <w:t xml:space="preserve">FAO (2019) </w:t>
      </w:r>
      <w:r w:rsidRPr="001C72A7">
        <w:rPr>
          <w:rFonts w:eastAsia="Arial" w:cs="Times New Roman"/>
          <w:i/>
          <w:iCs/>
          <w:noProof/>
          <w:sz w:val="22"/>
          <w:szCs w:val="22"/>
          <w:lang w:val="en"/>
        </w:rPr>
        <w:t>Fifteen years implementing the Right to Food Guidelines - Reviewing progress to achieve the 2030 Agenda</w:t>
      </w:r>
      <w:r w:rsidRPr="001C72A7">
        <w:rPr>
          <w:rFonts w:eastAsia="Arial" w:cs="Times New Roman"/>
          <w:noProof/>
          <w:sz w:val="22"/>
          <w:szCs w:val="22"/>
          <w:lang w:val="en"/>
        </w:rPr>
        <w:t>.</w:t>
      </w:r>
    </w:p>
    <w:p w:rsidR="001C72A7" w:rsidRPr="001C72A7" w:rsidRDefault="001C72A7" w:rsidP="001C72A7">
      <w:pPr>
        <w:widowControl w:val="0"/>
        <w:autoSpaceDE w:val="0"/>
        <w:autoSpaceDN w:val="0"/>
        <w:adjustRightInd w:val="0"/>
        <w:spacing w:before="240" w:after="240" w:line="360" w:lineRule="auto"/>
        <w:rPr>
          <w:rFonts w:eastAsia="Arial" w:cs="Times New Roman"/>
          <w:noProof/>
          <w:sz w:val="22"/>
          <w:szCs w:val="22"/>
          <w:lang w:val="en"/>
        </w:rPr>
      </w:pPr>
      <w:r w:rsidRPr="001C72A7">
        <w:rPr>
          <w:rFonts w:eastAsia="Arial" w:cs="Times New Roman"/>
          <w:noProof/>
          <w:sz w:val="22"/>
          <w:szCs w:val="22"/>
          <w:lang w:val="en"/>
        </w:rPr>
        <w:t xml:space="preserve">FAO </w:t>
      </w:r>
      <w:r w:rsidRPr="001C72A7">
        <w:rPr>
          <w:rFonts w:eastAsia="Arial" w:cs="Times New Roman"/>
          <w:i/>
          <w:iCs/>
          <w:noProof/>
          <w:sz w:val="22"/>
          <w:szCs w:val="22"/>
          <w:lang w:val="en"/>
        </w:rPr>
        <w:t>et al.</w:t>
      </w:r>
      <w:r w:rsidRPr="001C72A7">
        <w:rPr>
          <w:rFonts w:eastAsia="Arial" w:cs="Times New Roman"/>
          <w:noProof/>
          <w:sz w:val="22"/>
          <w:szCs w:val="22"/>
          <w:lang w:val="en"/>
        </w:rPr>
        <w:t xml:space="preserve"> (2019) </w:t>
      </w:r>
      <w:r w:rsidRPr="001C72A7">
        <w:rPr>
          <w:rFonts w:eastAsia="Arial" w:cs="Times New Roman"/>
          <w:i/>
          <w:iCs/>
          <w:noProof/>
          <w:sz w:val="22"/>
          <w:szCs w:val="22"/>
          <w:lang w:val="en"/>
        </w:rPr>
        <w:t>The state of food security and nutrition in the world 2019: Safeguarding against economic slowdowns and downturns.</w:t>
      </w:r>
      <w:r w:rsidRPr="001C72A7">
        <w:rPr>
          <w:rFonts w:eastAsia="Arial" w:cs="Times New Roman"/>
          <w:noProof/>
          <w:sz w:val="22"/>
          <w:szCs w:val="22"/>
          <w:lang w:val="en"/>
        </w:rPr>
        <w:t xml:space="preserve"> Rome: FOOD &amp; AGRICULTURE ORG.</w:t>
      </w:r>
    </w:p>
    <w:p w:rsidR="001C72A7" w:rsidRPr="001C72A7" w:rsidRDefault="001C72A7" w:rsidP="001C72A7">
      <w:pPr>
        <w:widowControl w:val="0"/>
        <w:autoSpaceDE w:val="0"/>
        <w:autoSpaceDN w:val="0"/>
        <w:adjustRightInd w:val="0"/>
        <w:spacing w:before="240" w:after="240" w:line="360" w:lineRule="auto"/>
        <w:rPr>
          <w:rFonts w:eastAsia="Arial" w:cs="Times New Roman"/>
          <w:noProof/>
          <w:sz w:val="22"/>
          <w:szCs w:val="22"/>
          <w:lang w:val="en"/>
        </w:rPr>
      </w:pPr>
      <w:r w:rsidRPr="001C72A7">
        <w:rPr>
          <w:rFonts w:eastAsia="Arial" w:cs="Times New Roman"/>
          <w:noProof/>
          <w:sz w:val="22"/>
          <w:szCs w:val="22"/>
          <w:lang w:val="en"/>
        </w:rPr>
        <w:t xml:space="preserve">FAO (no date) </w:t>
      </w:r>
      <w:r w:rsidRPr="001C72A7">
        <w:rPr>
          <w:rFonts w:eastAsia="Arial" w:cs="Times New Roman"/>
          <w:i/>
          <w:iCs/>
          <w:noProof/>
          <w:sz w:val="22"/>
          <w:szCs w:val="22"/>
          <w:lang w:val="en"/>
        </w:rPr>
        <w:t>2.1.1 Prevalence of undernourishment |</w:t>
      </w:r>
      <w:r w:rsidRPr="001C72A7">
        <w:rPr>
          <w:rFonts w:eastAsia="Arial" w:cs="Times New Roman"/>
          <w:noProof/>
          <w:sz w:val="22"/>
          <w:szCs w:val="22"/>
          <w:lang w:val="en"/>
        </w:rPr>
        <w:t xml:space="preserve">, </w:t>
      </w:r>
      <w:r w:rsidRPr="001C72A7">
        <w:rPr>
          <w:rFonts w:eastAsia="Arial" w:cs="Times New Roman"/>
          <w:i/>
          <w:iCs/>
          <w:noProof/>
          <w:sz w:val="22"/>
          <w:szCs w:val="22"/>
          <w:lang w:val="en"/>
        </w:rPr>
        <w:t>Sustainable Development Goals | Food and Agriculture Organization of the United Nations</w:t>
      </w:r>
      <w:r w:rsidRPr="001C72A7">
        <w:rPr>
          <w:rFonts w:eastAsia="Arial" w:cs="Times New Roman"/>
          <w:noProof/>
          <w:sz w:val="22"/>
          <w:szCs w:val="22"/>
          <w:lang w:val="en"/>
        </w:rPr>
        <w:t>. Available at: http://www.fao.org/sustainable-development-goals/indicators/211/en/ (Accessed: 19 May 2020).</w:t>
      </w:r>
    </w:p>
    <w:p w:rsidR="001C72A7" w:rsidRPr="001C72A7" w:rsidRDefault="001C72A7" w:rsidP="001C72A7">
      <w:pPr>
        <w:widowControl w:val="0"/>
        <w:autoSpaceDE w:val="0"/>
        <w:autoSpaceDN w:val="0"/>
        <w:adjustRightInd w:val="0"/>
        <w:spacing w:before="240" w:after="240" w:line="360" w:lineRule="auto"/>
        <w:rPr>
          <w:rFonts w:eastAsia="Arial" w:cs="Times New Roman"/>
          <w:noProof/>
          <w:sz w:val="22"/>
          <w:szCs w:val="22"/>
          <w:lang w:val="en"/>
        </w:rPr>
      </w:pPr>
      <w:r w:rsidRPr="001C72A7">
        <w:rPr>
          <w:rFonts w:eastAsia="Arial" w:cs="Times New Roman"/>
          <w:noProof/>
          <w:sz w:val="22"/>
          <w:szCs w:val="22"/>
          <w:lang w:val="en"/>
        </w:rPr>
        <w:t xml:space="preserve">FAO (Food and Agriculture Organization) (2017) </w:t>
      </w:r>
      <w:r w:rsidRPr="001C72A7">
        <w:rPr>
          <w:rFonts w:eastAsia="Arial" w:cs="Times New Roman"/>
          <w:i/>
          <w:iCs/>
          <w:noProof/>
          <w:sz w:val="22"/>
          <w:szCs w:val="22"/>
          <w:lang w:val="en"/>
        </w:rPr>
        <w:t>Africa regional overview of food security and nutrition 2016. The challenges of building resilience to shocks and stresses</w:t>
      </w:r>
      <w:r w:rsidRPr="001C72A7">
        <w:rPr>
          <w:rFonts w:eastAsia="Arial" w:cs="Times New Roman"/>
          <w:noProof/>
          <w:sz w:val="22"/>
          <w:szCs w:val="22"/>
          <w:lang w:val="en"/>
        </w:rPr>
        <w:t>. doi: 10.1080/04597238908460834.</w:t>
      </w:r>
    </w:p>
    <w:p w:rsidR="001C72A7" w:rsidRPr="001C72A7" w:rsidRDefault="001C72A7" w:rsidP="001C72A7">
      <w:pPr>
        <w:widowControl w:val="0"/>
        <w:autoSpaceDE w:val="0"/>
        <w:autoSpaceDN w:val="0"/>
        <w:adjustRightInd w:val="0"/>
        <w:spacing w:before="240" w:after="240" w:line="360" w:lineRule="auto"/>
        <w:rPr>
          <w:rFonts w:eastAsia="Arial" w:cs="Times New Roman"/>
          <w:noProof/>
          <w:sz w:val="22"/>
          <w:szCs w:val="22"/>
          <w:lang w:val="en"/>
        </w:rPr>
      </w:pPr>
      <w:r w:rsidRPr="001C72A7">
        <w:rPr>
          <w:rFonts w:eastAsia="Arial" w:cs="Times New Roman"/>
          <w:noProof/>
          <w:sz w:val="22"/>
          <w:szCs w:val="22"/>
          <w:lang w:val="en"/>
        </w:rPr>
        <w:t xml:space="preserve">FAO, IFAD and WFP (2015) </w:t>
      </w:r>
      <w:r w:rsidRPr="001C72A7">
        <w:rPr>
          <w:rFonts w:eastAsia="Arial" w:cs="Times New Roman"/>
          <w:i/>
          <w:iCs/>
          <w:noProof/>
          <w:sz w:val="22"/>
          <w:szCs w:val="22"/>
          <w:lang w:val="en"/>
        </w:rPr>
        <w:t>The State of Food Insecurity in the World</w:t>
      </w:r>
      <w:r w:rsidRPr="001C72A7">
        <w:rPr>
          <w:rFonts w:eastAsia="Arial" w:cs="Times New Roman"/>
          <w:noProof/>
          <w:sz w:val="22"/>
          <w:szCs w:val="22"/>
          <w:lang w:val="en"/>
        </w:rPr>
        <w:t xml:space="preserve">, </w:t>
      </w:r>
      <w:r w:rsidRPr="001C72A7">
        <w:rPr>
          <w:rFonts w:eastAsia="Arial" w:cs="Times New Roman"/>
          <w:i/>
          <w:iCs/>
          <w:noProof/>
          <w:sz w:val="22"/>
          <w:szCs w:val="22"/>
          <w:lang w:val="en"/>
        </w:rPr>
        <w:t>The State of Food Insecurity in the World</w:t>
      </w:r>
      <w:r w:rsidRPr="001C72A7">
        <w:rPr>
          <w:rFonts w:eastAsia="Arial" w:cs="Times New Roman"/>
          <w:noProof/>
          <w:sz w:val="22"/>
          <w:szCs w:val="22"/>
          <w:lang w:val="en"/>
        </w:rPr>
        <w:t>. doi: 10.1007/BF00428044.</w:t>
      </w:r>
    </w:p>
    <w:p w:rsidR="001C72A7" w:rsidRPr="001C72A7" w:rsidRDefault="001C72A7" w:rsidP="001C72A7">
      <w:pPr>
        <w:widowControl w:val="0"/>
        <w:autoSpaceDE w:val="0"/>
        <w:autoSpaceDN w:val="0"/>
        <w:adjustRightInd w:val="0"/>
        <w:spacing w:before="240" w:after="240" w:line="360" w:lineRule="auto"/>
        <w:rPr>
          <w:rFonts w:eastAsia="Arial" w:cs="Times New Roman"/>
          <w:noProof/>
          <w:sz w:val="22"/>
          <w:szCs w:val="22"/>
          <w:lang w:val="en"/>
        </w:rPr>
      </w:pPr>
      <w:r w:rsidRPr="001C72A7">
        <w:rPr>
          <w:rFonts w:eastAsia="Arial" w:cs="Times New Roman"/>
          <w:noProof/>
          <w:sz w:val="22"/>
          <w:szCs w:val="22"/>
          <w:lang w:val="en"/>
        </w:rPr>
        <w:t xml:space="preserve">FSIN (2018) ‘Global Report on Food Crisis 2018’, </w:t>
      </w:r>
      <w:r w:rsidRPr="001C72A7">
        <w:rPr>
          <w:rFonts w:eastAsia="Arial" w:cs="Times New Roman"/>
          <w:i/>
          <w:iCs/>
          <w:noProof/>
          <w:sz w:val="22"/>
          <w:szCs w:val="22"/>
          <w:lang w:val="en"/>
        </w:rPr>
        <w:t>Food Security Information Network</w:t>
      </w:r>
      <w:r w:rsidRPr="001C72A7">
        <w:rPr>
          <w:rFonts w:eastAsia="Arial" w:cs="Times New Roman"/>
          <w:noProof/>
          <w:sz w:val="22"/>
          <w:szCs w:val="22"/>
          <w:lang w:val="en"/>
        </w:rPr>
        <w:t>, p. 202.</w:t>
      </w:r>
    </w:p>
    <w:p w:rsidR="001C72A7" w:rsidRPr="001C72A7" w:rsidRDefault="001C72A7" w:rsidP="001C72A7">
      <w:pPr>
        <w:widowControl w:val="0"/>
        <w:autoSpaceDE w:val="0"/>
        <w:autoSpaceDN w:val="0"/>
        <w:adjustRightInd w:val="0"/>
        <w:spacing w:before="240" w:after="240" w:line="360" w:lineRule="auto"/>
        <w:rPr>
          <w:rFonts w:eastAsia="Arial" w:cs="Times New Roman"/>
          <w:noProof/>
          <w:sz w:val="22"/>
          <w:szCs w:val="22"/>
          <w:lang w:val="en"/>
        </w:rPr>
      </w:pPr>
      <w:r w:rsidRPr="001C72A7">
        <w:rPr>
          <w:rFonts w:eastAsia="Arial" w:cs="Times New Roman"/>
          <w:noProof/>
          <w:sz w:val="22"/>
          <w:szCs w:val="22"/>
          <w:lang w:val="en"/>
        </w:rPr>
        <w:t xml:space="preserve">FSIN (2019) </w:t>
      </w:r>
      <w:r w:rsidRPr="001C72A7">
        <w:rPr>
          <w:rFonts w:eastAsia="Arial" w:cs="Times New Roman"/>
          <w:i/>
          <w:iCs/>
          <w:noProof/>
          <w:sz w:val="22"/>
          <w:szCs w:val="22"/>
          <w:lang w:val="en"/>
        </w:rPr>
        <w:t>Global Report on Food Crises 2019</w:t>
      </w:r>
      <w:r w:rsidRPr="001C72A7">
        <w:rPr>
          <w:rFonts w:eastAsia="Arial" w:cs="Times New Roman"/>
          <w:noProof/>
          <w:sz w:val="22"/>
          <w:szCs w:val="22"/>
          <w:lang w:val="en"/>
        </w:rPr>
        <w:t xml:space="preserve">, </w:t>
      </w:r>
      <w:r w:rsidRPr="001C72A7">
        <w:rPr>
          <w:rFonts w:eastAsia="Arial" w:cs="Times New Roman"/>
          <w:i/>
          <w:iCs/>
          <w:noProof/>
          <w:sz w:val="22"/>
          <w:szCs w:val="22"/>
          <w:lang w:val="en"/>
        </w:rPr>
        <w:t>World Food Programme</w:t>
      </w:r>
      <w:r w:rsidRPr="001C72A7">
        <w:rPr>
          <w:rFonts w:eastAsia="Arial" w:cs="Times New Roman"/>
          <w:noProof/>
          <w:sz w:val="22"/>
          <w:szCs w:val="22"/>
          <w:lang w:val="en"/>
        </w:rPr>
        <w:t>. doi: ISSN 1728-9246.</w:t>
      </w:r>
    </w:p>
    <w:p w:rsidR="001C72A7" w:rsidRPr="001C72A7" w:rsidRDefault="001C72A7" w:rsidP="001C72A7">
      <w:pPr>
        <w:widowControl w:val="0"/>
        <w:autoSpaceDE w:val="0"/>
        <w:autoSpaceDN w:val="0"/>
        <w:adjustRightInd w:val="0"/>
        <w:spacing w:before="240" w:after="240" w:line="360" w:lineRule="auto"/>
        <w:rPr>
          <w:rFonts w:eastAsia="Arial" w:cs="Times New Roman"/>
          <w:noProof/>
          <w:sz w:val="22"/>
          <w:szCs w:val="22"/>
          <w:lang w:val="en"/>
        </w:rPr>
      </w:pPr>
      <w:r w:rsidRPr="001C72A7">
        <w:rPr>
          <w:rFonts w:eastAsia="Arial" w:cs="Times New Roman"/>
          <w:noProof/>
          <w:sz w:val="22"/>
          <w:szCs w:val="22"/>
          <w:lang w:val="en"/>
        </w:rPr>
        <w:t xml:space="preserve">FSP (no date) </w:t>
      </w:r>
      <w:r w:rsidRPr="001C72A7">
        <w:rPr>
          <w:rFonts w:eastAsia="Arial" w:cs="Times New Roman"/>
          <w:i/>
          <w:iCs/>
          <w:noProof/>
          <w:sz w:val="22"/>
          <w:szCs w:val="22"/>
          <w:lang w:val="en"/>
        </w:rPr>
        <w:t>Food Security Portal</w:t>
      </w:r>
      <w:r w:rsidRPr="001C72A7">
        <w:rPr>
          <w:rFonts w:eastAsia="Arial" w:cs="Times New Roman"/>
          <w:noProof/>
          <w:sz w:val="22"/>
          <w:szCs w:val="22"/>
          <w:lang w:val="en"/>
        </w:rPr>
        <w:t xml:space="preserve">, </w:t>
      </w:r>
      <w:r w:rsidRPr="001C72A7">
        <w:rPr>
          <w:rFonts w:eastAsia="Arial" w:cs="Times New Roman"/>
          <w:i/>
          <w:iCs/>
          <w:noProof/>
          <w:sz w:val="22"/>
          <w:szCs w:val="22"/>
          <w:lang w:val="en"/>
        </w:rPr>
        <w:t>IFPRI</w:t>
      </w:r>
      <w:r w:rsidRPr="001C72A7">
        <w:rPr>
          <w:rFonts w:eastAsia="Arial" w:cs="Times New Roman"/>
          <w:noProof/>
          <w:sz w:val="22"/>
          <w:szCs w:val="22"/>
          <w:lang w:val="en"/>
        </w:rPr>
        <w:t>. Available at: http://www.foodsecurityportal.org/api/countries.</w:t>
      </w:r>
    </w:p>
    <w:p w:rsidR="001C72A7" w:rsidRPr="001C72A7" w:rsidRDefault="001C72A7" w:rsidP="001C72A7">
      <w:pPr>
        <w:widowControl w:val="0"/>
        <w:autoSpaceDE w:val="0"/>
        <w:autoSpaceDN w:val="0"/>
        <w:adjustRightInd w:val="0"/>
        <w:spacing w:before="240" w:after="240" w:line="360" w:lineRule="auto"/>
        <w:rPr>
          <w:rFonts w:eastAsia="Arial" w:cs="Times New Roman"/>
          <w:noProof/>
          <w:sz w:val="22"/>
          <w:szCs w:val="22"/>
          <w:lang w:val="en"/>
        </w:rPr>
      </w:pPr>
      <w:r w:rsidRPr="001C72A7">
        <w:rPr>
          <w:rFonts w:eastAsia="Arial" w:cs="Times New Roman"/>
          <w:noProof/>
          <w:sz w:val="22"/>
          <w:szCs w:val="22"/>
          <w:lang w:val="en"/>
        </w:rPr>
        <w:t xml:space="preserve">Global Agenda for Social Work and Social Development (2014) </w:t>
      </w:r>
      <w:r w:rsidRPr="001C72A7">
        <w:rPr>
          <w:rFonts w:eastAsia="Arial" w:cs="Times New Roman"/>
          <w:i/>
          <w:iCs/>
          <w:noProof/>
          <w:sz w:val="22"/>
          <w:szCs w:val="22"/>
          <w:lang w:val="en"/>
        </w:rPr>
        <w:t>Global Agenda for Social Work and Social Development 2014: First report</w:t>
      </w:r>
      <w:r w:rsidRPr="001C72A7">
        <w:rPr>
          <w:rFonts w:eastAsia="Arial" w:cs="Times New Roman"/>
          <w:noProof/>
          <w:sz w:val="22"/>
          <w:szCs w:val="22"/>
          <w:lang w:val="en"/>
        </w:rPr>
        <w:t xml:space="preserve">, </w:t>
      </w:r>
      <w:r w:rsidRPr="001C72A7">
        <w:rPr>
          <w:rFonts w:eastAsia="Arial" w:cs="Times New Roman"/>
          <w:i/>
          <w:iCs/>
          <w:noProof/>
          <w:sz w:val="22"/>
          <w:szCs w:val="22"/>
          <w:lang w:val="en"/>
        </w:rPr>
        <w:t>International Social Work</w:t>
      </w:r>
      <w:r w:rsidRPr="001C72A7">
        <w:rPr>
          <w:rFonts w:eastAsia="Arial" w:cs="Times New Roman"/>
          <w:noProof/>
          <w:sz w:val="22"/>
          <w:szCs w:val="22"/>
          <w:lang w:val="en"/>
        </w:rPr>
        <w:t>. doi: 10.1017/CBO9781107415324.004.</w:t>
      </w:r>
    </w:p>
    <w:p w:rsidR="001C72A7" w:rsidRPr="001C72A7" w:rsidRDefault="001C72A7" w:rsidP="001C72A7">
      <w:pPr>
        <w:widowControl w:val="0"/>
        <w:autoSpaceDE w:val="0"/>
        <w:autoSpaceDN w:val="0"/>
        <w:adjustRightInd w:val="0"/>
        <w:spacing w:before="240" w:after="240" w:line="360" w:lineRule="auto"/>
        <w:rPr>
          <w:rFonts w:eastAsia="Arial" w:cs="Times New Roman"/>
          <w:noProof/>
          <w:sz w:val="22"/>
          <w:szCs w:val="22"/>
          <w:lang w:val="en"/>
        </w:rPr>
      </w:pPr>
      <w:r w:rsidRPr="001C72A7">
        <w:rPr>
          <w:rFonts w:eastAsia="Arial" w:cs="Times New Roman"/>
          <w:noProof/>
          <w:sz w:val="22"/>
          <w:szCs w:val="22"/>
          <w:lang w:val="en"/>
        </w:rPr>
        <w:t xml:space="preserve">Gödecke, T., Stein, A. J. and Qaim, M. (2018) ‘The global burden of chronic and hidden hunger: Trends and determinants’, </w:t>
      </w:r>
      <w:r w:rsidRPr="001C72A7">
        <w:rPr>
          <w:rFonts w:eastAsia="Arial" w:cs="Times New Roman"/>
          <w:i/>
          <w:iCs/>
          <w:noProof/>
          <w:sz w:val="22"/>
          <w:szCs w:val="22"/>
          <w:lang w:val="en"/>
        </w:rPr>
        <w:t>Global Food Security</w:t>
      </w:r>
      <w:r w:rsidRPr="001C72A7">
        <w:rPr>
          <w:rFonts w:eastAsia="Arial" w:cs="Times New Roman"/>
          <w:noProof/>
          <w:sz w:val="22"/>
          <w:szCs w:val="22"/>
          <w:lang w:val="en"/>
        </w:rPr>
        <w:t>. Elsevier B.V., 17(March), pp. 21–29. doi: 10.1016/j.gfs.2018.03.004.</w:t>
      </w:r>
    </w:p>
    <w:p w:rsidR="001C72A7" w:rsidRPr="001C72A7" w:rsidRDefault="001C72A7" w:rsidP="001C72A7">
      <w:pPr>
        <w:widowControl w:val="0"/>
        <w:autoSpaceDE w:val="0"/>
        <w:autoSpaceDN w:val="0"/>
        <w:adjustRightInd w:val="0"/>
        <w:spacing w:before="240" w:after="240" w:line="360" w:lineRule="auto"/>
        <w:rPr>
          <w:rFonts w:eastAsia="Arial" w:cs="Times New Roman"/>
          <w:noProof/>
          <w:sz w:val="22"/>
          <w:szCs w:val="22"/>
          <w:lang w:val="en"/>
        </w:rPr>
      </w:pPr>
      <w:r w:rsidRPr="001C72A7">
        <w:rPr>
          <w:rFonts w:eastAsia="Arial" w:cs="Times New Roman"/>
          <w:noProof/>
          <w:sz w:val="22"/>
          <w:szCs w:val="22"/>
          <w:lang w:val="en"/>
        </w:rPr>
        <w:t xml:space="preserve">Headey, D. </w:t>
      </w:r>
      <w:r w:rsidRPr="001C72A7">
        <w:rPr>
          <w:rFonts w:eastAsia="Arial" w:cs="Times New Roman"/>
          <w:i/>
          <w:iCs/>
          <w:noProof/>
          <w:sz w:val="22"/>
          <w:szCs w:val="22"/>
          <w:lang w:val="en"/>
        </w:rPr>
        <w:t>et al.</w:t>
      </w:r>
      <w:r w:rsidRPr="001C72A7">
        <w:rPr>
          <w:rFonts w:eastAsia="Arial" w:cs="Times New Roman"/>
          <w:noProof/>
          <w:sz w:val="22"/>
          <w:szCs w:val="22"/>
          <w:lang w:val="en"/>
        </w:rPr>
        <w:t xml:space="preserve"> (2015) ‘The Other Asian Enigma: Explaining the Rapid Reduction of Undernutrition in Bangladesh’, </w:t>
      </w:r>
      <w:r w:rsidRPr="001C72A7">
        <w:rPr>
          <w:rFonts w:eastAsia="Arial" w:cs="Times New Roman"/>
          <w:i/>
          <w:iCs/>
          <w:noProof/>
          <w:sz w:val="22"/>
          <w:szCs w:val="22"/>
          <w:lang w:val="en"/>
        </w:rPr>
        <w:t>World Development</w:t>
      </w:r>
      <w:r w:rsidRPr="001C72A7">
        <w:rPr>
          <w:rFonts w:eastAsia="Arial" w:cs="Times New Roman"/>
          <w:noProof/>
          <w:sz w:val="22"/>
          <w:szCs w:val="22"/>
          <w:lang w:val="en"/>
        </w:rPr>
        <w:t>. Elsevier Ltd, 66, pp. 749–761. doi: 10.1016/j.worlddev.2014.09.022.</w:t>
      </w:r>
    </w:p>
    <w:p w:rsidR="001C72A7" w:rsidRPr="001C72A7" w:rsidRDefault="001C72A7" w:rsidP="001C72A7">
      <w:pPr>
        <w:widowControl w:val="0"/>
        <w:autoSpaceDE w:val="0"/>
        <w:autoSpaceDN w:val="0"/>
        <w:adjustRightInd w:val="0"/>
        <w:spacing w:before="240" w:after="240" w:line="360" w:lineRule="auto"/>
        <w:rPr>
          <w:rFonts w:eastAsia="Arial" w:cs="Times New Roman"/>
          <w:noProof/>
          <w:sz w:val="22"/>
          <w:szCs w:val="22"/>
          <w:lang w:val="en"/>
        </w:rPr>
      </w:pPr>
      <w:r w:rsidRPr="001C72A7">
        <w:rPr>
          <w:rFonts w:eastAsia="Arial" w:cs="Times New Roman"/>
          <w:noProof/>
          <w:sz w:val="22"/>
          <w:szCs w:val="22"/>
          <w:lang w:val="en"/>
        </w:rPr>
        <w:t xml:space="preserve">Healy, L. M. (2017) ‘Situating social work within the post-2015 Global Agenda’, </w:t>
      </w:r>
      <w:r w:rsidRPr="001C72A7">
        <w:rPr>
          <w:rFonts w:eastAsia="Arial" w:cs="Times New Roman"/>
          <w:i/>
          <w:iCs/>
          <w:noProof/>
          <w:sz w:val="22"/>
          <w:szCs w:val="22"/>
          <w:lang w:val="en"/>
        </w:rPr>
        <w:t>European Journal of Social Work</w:t>
      </w:r>
      <w:r w:rsidRPr="001C72A7">
        <w:rPr>
          <w:rFonts w:eastAsia="Arial" w:cs="Times New Roman"/>
          <w:noProof/>
          <w:sz w:val="22"/>
          <w:szCs w:val="22"/>
          <w:lang w:val="en"/>
        </w:rPr>
        <w:t>. Taylor &amp; Francis, 20(1), pp. 5–16. doi: 10.1080/13691457.2016.1168788.</w:t>
      </w:r>
    </w:p>
    <w:p w:rsidR="001C72A7" w:rsidRPr="001C72A7" w:rsidRDefault="001C72A7" w:rsidP="001C72A7">
      <w:pPr>
        <w:widowControl w:val="0"/>
        <w:autoSpaceDE w:val="0"/>
        <w:autoSpaceDN w:val="0"/>
        <w:adjustRightInd w:val="0"/>
        <w:spacing w:before="240" w:after="240" w:line="360" w:lineRule="auto"/>
        <w:rPr>
          <w:rFonts w:eastAsia="Arial" w:cs="Times New Roman"/>
          <w:noProof/>
          <w:sz w:val="22"/>
          <w:szCs w:val="22"/>
          <w:lang w:val="en"/>
        </w:rPr>
      </w:pPr>
      <w:r w:rsidRPr="001C72A7">
        <w:rPr>
          <w:rFonts w:eastAsia="Arial" w:cs="Times New Roman"/>
          <w:noProof/>
          <w:sz w:val="22"/>
          <w:szCs w:val="22"/>
          <w:lang w:val="en"/>
        </w:rPr>
        <w:t xml:space="preserve">HLPF (2019) </w:t>
      </w:r>
      <w:r w:rsidRPr="001C72A7">
        <w:rPr>
          <w:rFonts w:eastAsia="Arial" w:cs="Times New Roman"/>
          <w:i/>
          <w:iCs/>
          <w:noProof/>
          <w:sz w:val="22"/>
          <w:szCs w:val="22"/>
          <w:lang w:val="en"/>
        </w:rPr>
        <w:t>High-level Political Forum .:. Sustainable Development Knowledge Platform</w:t>
      </w:r>
      <w:r w:rsidRPr="001C72A7">
        <w:rPr>
          <w:rFonts w:eastAsia="Arial" w:cs="Times New Roman"/>
          <w:noProof/>
          <w:sz w:val="22"/>
          <w:szCs w:val="22"/>
          <w:lang w:val="en"/>
        </w:rPr>
        <w:t xml:space="preserve">, </w:t>
      </w:r>
      <w:r w:rsidRPr="001C72A7">
        <w:rPr>
          <w:rFonts w:eastAsia="Arial" w:cs="Times New Roman"/>
          <w:i/>
          <w:iCs/>
          <w:noProof/>
          <w:sz w:val="22"/>
          <w:szCs w:val="22"/>
          <w:lang w:val="en"/>
        </w:rPr>
        <w:t>UNSDG</w:t>
      </w:r>
      <w:r w:rsidRPr="001C72A7">
        <w:rPr>
          <w:rFonts w:eastAsia="Arial" w:cs="Times New Roman"/>
          <w:noProof/>
          <w:sz w:val="22"/>
          <w:szCs w:val="22"/>
          <w:lang w:val="en"/>
        </w:rPr>
        <w:t>. Available at: https://sustainabledevelopment.un.org/hlpf (Accessed: 19 May 2020).</w:t>
      </w:r>
    </w:p>
    <w:p w:rsidR="001C72A7" w:rsidRPr="001C72A7" w:rsidRDefault="001C72A7" w:rsidP="001C72A7">
      <w:pPr>
        <w:widowControl w:val="0"/>
        <w:autoSpaceDE w:val="0"/>
        <w:autoSpaceDN w:val="0"/>
        <w:adjustRightInd w:val="0"/>
        <w:spacing w:before="240" w:after="240" w:line="360" w:lineRule="auto"/>
        <w:rPr>
          <w:rFonts w:eastAsia="Arial" w:cs="Times New Roman"/>
          <w:noProof/>
          <w:sz w:val="22"/>
          <w:szCs w:val="22"/>
          <w:lang w:val="en"/>
        </w:rPr>
      </w:pPr>
      <w:r w:rsidRPr="001C72A7">
        <w:rPr>
          <w:rFonts w:eastAsia="Arial" w:cs="Times New Roman"/>
          <w:noProof/>
          <w:sz w:val="22"/>
          <w:szCs w:val="22"/>
          <w:lang w:val="en"/>
        </w:rPr>
        <w:t xml:space="preserve">IASSW (2016) </w:t>
      </w:r>
      <w:r w:rsidRPr="001C72A7">
        <w:rPr>
          <w:rFonts w:eastAsia="Arial" w:cs="Times New Roman"/>
          <w:i/>
          <w:iCs/>
          <w:noProof/>
          <w:sz w:val="22"/>
          <w:szCs w:val="22"/>
          <w:lang w:val="en"/>
        </w:rPr>
        <w:t>Global Agenda for Social Work and Social Development IASSW Statement Theme 3: Promoting environmental and community sustainability</w:t>
      </w:r>
      <w:r w:rsidRPr="001C72A7">
        <w:rPr>
          <w:rFonts w:eastAsia="Arial" w:cs="Times New Roman"/>
          <w:noProof/>
          <w:sz w:val="22"/>
          <w:szCs w:val="22"/>
          <w:lang w:val="en"/>
        </w:rPr>
        <w:t xml:space="preserve">, </w:t>
      </w:r>
      <w:r w:rsidRPr="001C72A7">
        <w:rPr>
          <w:rFonts w:eastAsia="Arial" w:cs="Times New Roman"/>
          <w:i/>
          <w:iCs/>
          <w:noProof/>
          <w:sz w:val="22"/>
          <w:szCs w:val="22"/>
          <w:lang w:val="en"/>
        </w:rPr>
        <w:t>Global Agenda for Social Work and Social Development IASSW Statement</w:t>
      </w:r>
      <w:r w:rsidRPr="001C72A7">
        <w:rPr>
          <w:rFonts w:eastAsia="Arial" w:cs="Times New Roman"/>
          <w:noProof/>
          <w:sz w:val="22"/>
          <w:szCs w:val="22"/>
          <w:lang w:val="en"/>
        </w:rPr>
        <w:t>.</w:t>
      </w:r>
    </w:p>
    <w:p w:rsidR="001C72A7" w:rsidRPr="001C72A7" w:rsidRDefault="001C72A7" w:rsidP="001C72A7">
      <w:pPr>
        <w:widowControl w:val="0"/>
        <w:autoSpaceDE w:val="0"/>
        <w:autoSpaceDN w:val="0"/>
        <w:adjustRightInd w:val="0"/>
        <w:spacing w:before="240" w:after="240" w:line="360" w:lineRule="auto"/>
        <w:rPr>
          <w:rFonts w:eastAsia="Arial" w:cs="Times New Roman"/>
          <w:noProof/>
          <w:sz w:val="22"/>
          <w:szCs w:val="22"/>
          <w:lang w:val="en"/>
        </w:rPr>
      </w:pPr>
      <w:r w:rsidRPr="001C72A7">
        <w:rPr>
          <w:rFonts w:eastAsia="Arial" w:cs="Times New Roman"/>
          <w:noProof/>
          <w:sz w:val="22"/>
          <w:szCs w:val="22"/>
          <w:lang w:val="en"/>
        </w:rPr>
        <w:t xml:space="preserve">IISD (no date) </w:t>
      </w:r>
      <w:r w:rsidRPr="001C72A7">
        <w:rPr>
          <w:rFonts w:eastAsia="Arial" w:cs="Times New Roman"/>
          <w:i/>
          <w:iCs/>
          <w:noProof/>
          <w:sz w:val="22"/>
          <w:szCs w:val="22"/>
          <w:lang w:val="en"/>
        </w:rPr>
        <w:t>SDG Indicator Portal</w:t>
      </w:r>
      <w:r w:rsidRPr="001C72A7">
        <w:rPr>
          <w:rFonts w:eastAsia="Arial" w:cs="Times New Roman"/>
          <w:noProof/>
          <w:sz w:val="22"/>
          <w:szCs w:val="22"/>
          <w:lang w:val="en"/>
        </w:rPr>
        <w:t xml:space="preserve">, </w:t>
      </w:r>
      <w:r w:rsidRPr="001C72A7">
        <w:rPr>
          <w:rFonts w:eastAsia="Arial" w:cs="Times New Roman"/>
          <w:i/>
          <w:iCs/>
          <w:noProof/>
          <w:sz w:val="22"/>
          <w:szCs w:val="22"/>
          <w:lang w:val="en"/>
        </w:rPr>
        <w:t>SDG INDICATOR PORTAL</w:t>
      </w:r>
      <w:r w:rsidRPr="001C72A7">
        <w:rPr>
          <w:rFonts w:eastAsia="Arial" w:cs="Times New Roman"/>
          <w:noProof/>
          <w:sz w:val="22"/>
          <w:szCs w:val="22"/>
          <w:lang w:val="en"/>
        </w:rPr>
        <w:t>. Available at: https://sustainable-development-goals.iisd.org/country-data (Accessed: 19 May 2020).</w:t>
      </w:r>
    </w:p>
    <w:p w:rsidR="001C72A7" w:rsidRPr="001C72A7" w:rsidRDefault="001C72A7" w:rsidP="001C72A7">
      <w:pPr>
        <w:widowControl w:val="0"/>
        <w:autoSpaceDE w:val="0"/>
        <w:autoSpaceDN w:val="0"/>
        <w:adjustRightInd w:val="0"/>
        <w:spacing w:before="240" w:after="240" w:line="360" w:lineRule="auto"/>
        <w:rPr>
          <w:rFonts w:eastAsia="Arial" w:cs="Times New Roman"/>
          <w:noProof/>
          <w:sz w:val="22"/>
          <w:szCs w:val="22"/>
          <w:lang w:val="en"/>
        </w:rPr>
      </w:pPr>
      <w:r w:rsidRPr="001C72A7">
        <w:rPr>
          <w:rFonts w:eastAsia="Arial" w:cs="Times New Roman"/>
          <w:noProof/>
          <w:sz w:val="22"/>
          <w:szCs w:val="22"/>
          <w:lang w:val="en"/>
        </w:rPr>
        <w:t xml:space="preserve">IPCC (2018) </w:t>
      </w:r>
      <w:r w:rsidRPr="001C72A7">
        <w:rPr>
          <w:rFonts w:eastAsia="Arial" w:cs="Times New Roman"/>
          <w:i/>
          <w:iCs/>
          <w:noProof/>
          <w:sz w:val="22"/>
          <w:szCs w:val="22"/>
          <w:lang w:val="en"/>
        </w:rPr>
        <w:t>Chapter 5: Food Security</w:t>
      </w:r>
      <w:r w:rsidRPr="001C72A7">
        <w:rPr>
          <w:rFonts w:eastAsia="Arial" w:cs="Times New Roman"/>
          <w:noProof/>
          <w:sz w:val="22"/>
          <w:szCs w:val="22"/>
          <w:lang w:val="en"/>
        </w:rPr>
        <w:t xml:space="preserve">, </w:t>
      </w:r>
      <w:r w:rsidRPr="001C72A7">
        <w:rPr>
          <w:rFonts w:eastAsia="Arial" w:cs="Times New Roman"/>
          <w:i/>
          <w:iCs/>
          <w:noProof/>
          <w:sz w:val="22"/>
          <w:szCs w:val="22"/>
          <w:lang w:val="en"/>
        </w:rPr>
        <w:t>IPCC Special Report on Climate Change, Desertification, Land Degradation, Sustainable Land Management, Food Security, and Greenhouse gas fluxes in Terrestrial Ecosystems</w:t>
      </w:r>
      <w:r w:rsidRPr="001C72A7">
        <w:rPr>
          <w:rFonts w:eastAsia="Arial" w:cs="Times New Roman"/>
          <w:noProof/>
          <w:sz w:val="22"/>
          <w:szCs w:val="22"/>
          <w:lang w:val="en"/>
        </w:rPr>
        <w:t>.</w:t>
      </w:r>
    </w:p>
    <w:p w:rsidR="001C72A7" w:rsidRPr="001C72A7" w:rsidRDefault="001C72A7" w:rsidP="001C72A7">
      <w:pPr>
        <w:widowControl w:val="0"/>
        <w:autoSpaceDE w:val="0"/>
        <w:autoSpaceDN w:val="0"/>
        <w:adjustRightInd w:val="0"/>
        <w:spacing w:before="240" w:after="240" w:line="360" w:lineRule="auto"/>
        <w:rPr>
          <w:rFonts w:eastAsia="Arial" w:cs="Times New Roman"/>
          <w:noProof/>
          <w:sz w:val="22"/>
          <w:szCs w:val="22"/>
          <w:lang w:val="en"/>
        </w:rPr>
      </w:pPr>
      <w:r w:rsidRPr="001C72A7">
        <w:rPr>
          <w:rFonts w:eastAsia="Arial" w:cs="Times New Roman"/>
          <w:noProof/>
          <w:sz w:val="22"/>
          <w:szCs w:val="22"/>
          <w:lang w:val="en"/>
        </w:rPr>
        <w:t xml:space="preserve">Jayasooria, D. (2016) ‘Sustainable Development Goals and Social Work: Opportunities and Challenges for Social Work Practice in Malaysia’, </w:t>
      </w:r>
      <w:r w:rsidRPr="001C72A7">
        <w:rPr>
          <w:rFonts w:eastAsia="Arial" w:cs="Times New Roman"/>
          <w:i/>
          <w:iCs/>
          <w:noProof/>
          <w:sz w:val="22"/>
          <w:szCs w:val="22"/>
          <w:lang w:val="en"/>
        </w:rPr>
        <w:t>Journal of Human Rights and Social Work</w:t>
      </w:r>
      <w:r w:rsidRPr="001C72A7">
        <w:rPr>
          <w:rFonts w:eastAsia="Arial" w:cs="Times New Roman"/>
          <w:noProof/>
          <w:sz w:val="22"/>
          <w:szCs w:val="22"/>
          <w:lang w:val="en"/>
        </w:rPr>
        <w:t>, 1(1), pp. 19–29. doi: 10.1007/s41134-016-0007-y.</w:t>
      </w:r>
    </w:p>
    <w:p w:rsidR="001C72A7" w:rsidRPr="001C72A7" w:rsidRDefault="001C72A7" w:rsidP="001C72A7">
      <w:pPr>
        <w:widowControl w:val="0"/>
        <w:autoSpaceDE w:val="0"/>
        <w:autoSpaceDN w:val="0"/>
        <w:adjustRightInd w:val="0"/>
        <w:spacing w:before="240" w:after="240" w:line="360" w:lineRule="auto"/>
        <w:rPr>
          <w:rFonts w:eastAsia="Arial" w:cs="Times New Roman"/>
          <w:noProof/>
          <w:sz w:val="22"/>
          <w:szCs w:val="22"/>
          <w:lang w:val="en"/>
        </w:rPr>
      </w:pPr>
      <w:r w:rsidRPr="001C72A7">
        <w:rPr>
          <w:rFonts w:eastAsia="Arial" w:cs="Times New Roman"/>
          <w:noProof/>
          <w:sz w:val="22"/>
          <w:szCs w:val="22"/>
          <w:lang w:val="en"/>
        </w:rPr>
        <w:t xml:space="preserve">Ke, J. and Ford-Jones, E. L. (2015) ‘Food insecurity and hunger: A review of the effects on children’s health and behaviour’, </w:t>
      </w:r>
      <w:r w:rsidRPr="001C72A7">
        <w:rPr>
          <w:rFonts w:eastAsia="Arial" w:cs="Times New Roman"/>
          <w:i/>
          <w:iCs/>
          <w:noProof/>
          <w:sz w:val="22"/>
          <w:szCs w:val="22"/>
          <w:lang w:val="en"/>
        </w:rPr>
        <w:t>Paediatrics and Child Health (Canada)</w:t>
      </w:r>
      <w:r w:rsidRPr="001C72A7">
        <w:rPr>
          <w:rFonts w:eastAsia="Arial" w:cs="Times New Roman"/>
          <w:noProof/>
          <w:sz w:val="22"/>
          <w:szCs w:val="22"/>
          <w:lang w:val="en"/>
        </w:rPr>
        <w:t>, 20(2), pp. 89–91. doi: 10.1093/pch/20.2.89.</w:t>
      </w:r>
    </w:p>
    <w:p w:rsidR="001C72A7" w:rsidRPr="001C72A7" w:rsidRDefault="001C72A7" w:rsidP="001C72A7">
      <w:pPr>
        <w:widowControl w:val="0"/>
        <w:autoSpaceDE w:val="0"/>
        <w:autoSpaceDN w:val="0"/>
        <w:adjustRightInd w:val="0"/>
        <w:spacing w:before="240" w:after="240" w:line="360" w:lineRule="auto"/>
        <w:rPr>
          <w:rFonts w:eastAsia="Arial" w:cs="Times New Roman"/>
          <w:noProof/>
          <w:sz w:val="22"/>
          <w:szCs w:val="22"/>
          <w:lang w:val="en"/>
        </w:rPr>
      </w:pPr>
      <w:r w:rsidRPr="001C72A7">
        <w:rPr>
          <w:rFonts w:eastAsia="Arial" w:cs="Times New Roman"/>
          <w:noProof/>
          <w:sz w:val="22"/>
          <w:szCs w:val="22"/>
          <w:lang w:val="en"/>
        </w:rPr>
        <w:t xml:space="preserve">Kinyoki, D. K. </w:t>
      </w:r>
      <w:r w:rsidRPr="001C72A7">
        <w:rPr>
          <w:rFonts w:eastAsia="Arial" w:cs="Times New Roman"/>
          <w:i/>
          <w:iCs/>
          <w:noProof/>
          <w:sz w:val="22"/>
          <w:szCs w:val="22"/>
          <w:lang w:val="en"/>
        </w:rPr>
        <w:t>et al.</w:t>
      </w:r>
      <w:r w:rsidRPr="001C72A7">
        <w:rPr>
          <w:rFonts w:eastAsia="Arial" w:cs="Times New Roman"/>
          <w:noProof/>
          <w:sz w:val="22"/>
          <w:szCs w:val="22"/>
          <w:lang w:val="en"/>
        </w:rPr>
        <w:t xml:space="preserve"> (2015) ‘Predictors of the risk of malnutrition among children under the age of 5 years in Somalia’, </w:t>
      </w:r>
      <w:r w:rsidRPr="001C72A7">
        <w:rPr>
          <w:rFonts w:eastAsia="Arial" w:cs="Times New Roman"/>
          <w:i/>
          <w:iCs/>
          <w:noProof/>
          <w:sz w:val="22"/>
          <w:szCs w:val="22"/>
          <w:lang w:val="en"/>
        </w:rPr>
        <w:t>Public Health Nutrition</w:t>
      </w:r>
      <w:r w:rsidRPr="001C72A7">
        <w:rPr>
          <w:rFonts w:eastAsia="Arial" w:cs="Times New Roman"/>
          <w:noProof/>
          <w:sz w:val="22"/>
          <w:szCs w:val="22"/>
          <w:lang w:val="en"/>
        </w:rPr>
        <w:t>, 18(17), pp. 3125–3133. doi: 10.1017/S1368980015001913.</w:t>
      </w:r>
    </w:p>
    <w:p w:rsidR="001C72A7" w:rsidRPr="001C72A7" w:rsidRDefault="001C72A7" w:rsidP="001C72A7">
      <w:pPr>
        <w:widowControl w:val="0"/>
        <w:autoSpaceDE w:val="0"/>
        <w:autoSpaceDN w:val="0"/>
        <w:adjustRightInd w:val="0"/>
        <w:spacing w:before="240" w:after="240" w:line="360" w:lineRule="auto"/>
        <w:rPr>
          <w:rFonts w:eastAsia="Arial" w:cs="Times New Roman"/>
          <w:noProof/>
          <w:sz w:val="22"/>
          <w:szCs w:val="22"/>
          <w:lang w:val="en"/>
        </w:rPr>
      </w:pPr>
      <w:r w:rsidRPr="001C72A7">
        <w:rPr>
          <w:rFonts w:eastAsia="Arial" w:cs="Times New Roman"/>
          <w:noProof/>
          <w:sz w:val="22"/>
          <w:szCs w:val="22"/>
          <w:lang w:val="en"/>
        </w:rPr>
        <w:t xml:space="preserve">Knowles, M. </w:t>
      </w:r>
      <w:r w:rsidRPr="001C72A7">
        <w:rPr>
          <w:rFonts w:eastAsia="Arial" w:cs="Times New Roman"/>
          <w:i/>
          <w:iCs/>
          <w:noProof/>
          <w:sz w:val="22"/>
          <w:szCs w:val="22"/>
          <w:lang w:val="en"/>
        </w:rPr>
        <w:t>et al.</w:t>
      </w:r>
      <w:r w:rsidRPr="001C72A7">
        <w:rPr>
          <w:rFonts w:eastAsia="Arial" w:cs="Times New Roman"/>
          <w:noProof/>
          <w:sz w:val="22"/>
          <w:szCs w:val="22"/>
          <w:lang w:val="en"/>
        </w:rPr>
        <w:t xml:space="preserve"> (2016) ‘“Do You Wanna Breathe or Eat?”: Parent Perspectives on Child Health Consequences of Food Insecurity, Trade-Offs, and Toxic Stress’, </w:t>
      </w:r>
      <w:r w:rsidRPr="001C72A7">
        <w:rPr>
          <w:rFonts w:eastAsia="Arial" w:cs="Times New Roman"/>
          <w:i/>
          <w:iCs/>
          <w:noProof/>
          <w:sz w:val="22"/>
          <w:szCs w:val="22"/>
          <w:lang w:val="en"/>
        </w:rPr>
        <w:t>Maternal and Child Health Journal</w:t>
      </w:r>
      <w:r w:rsidRPr="001C72A7">
        <w:rPr>
          <w:rFonts w:eastAsia="Arial" w:cs="Times New Roman"/>
          <w:noProof/>
          <w:sz w:val="22"/>
          <w:szCs w:val="22"/>
          <w:lang w:val="en"/>
        </w:rPr>
        <w:t>. Springer US, 20(1), pp. 25–32. doi: 10.1007/s10995-015-1797-8.</w:t>
      </w:r>
    </w:p>
    <w:p w:rsidR="001C72A7" w:rsidRPr="001C72A7" w:rsidRDefault="001C72A7" w:rsidP="001C72A7">
      <w:pPr>
        <w:widowControl w:val="0"/>
        <w:autoSpaceDE w:val="0"/>
        <w:autoSpaceDN w:val="0"/>
        <w:adjustRightInd w:val="0"/>
        <w:spacing w:before="240" w:after="240" w:line="360" w:lineRule="auto"/>
        <w:rPr>
          <w:rFonts w:eastAsia="Arial" w:cs="Times New Roman"/>
          <w:noProof/>
          <w:sz w:val="22"/>
          <w:szCs w:val="22"/>
          <w:lang w:val="en"/>
        </w:rPr>
      </w:pPr>
      <w:r w:rsidRPr="001C72A7">
        <w:rPr>
          <w:rFonts w:eastAsia="Arial" w:cs="Times New Roman"/>
          <w:noProof/>
          <w:sz w:val="22"/>
          <w:szCs w:val="22"/>
          <w:lang w:val="en"/>
        </w:rPr>
        <w:t xml:space="preserve">Lewis, J. J. and Pattanayak, S. K. (2012) ‘Who adopts improved fuels and cookstoves? A systematic review’, </w:t>
      </w:r>
      <w:r w:rsidRPr="001C72A7">
        <w:rPr>
          <w:rFonts w:eastAsia="Arial" w:cs="Times New Roman"/>
          <w:i/>
          <w:iCs/>
          <w:noProof/>
          <w:sz w:val="22"/>
          <w:szCs w:val="22"/>
          <w:lang w:val="en"/>
        </w:rPr>
        <w:t>Environmental Health Perspectives</w:t>
      </w:r>
      <w:r w:rsidRPr="001C72A7">
        <w:rPr>
          <w:rFonts w:eastAsia="Arial" w:cs="Times New Roman"/>
          <w:noProof/>
          <w:sz w:val="22"/>
          <w:szCs w:val="22"/>
          <w:lang w:val="en"/>
        </w:rPr>
        <w:t>, 120(5), pp. 637–645. doi: 10.1289/ehp.1104194.</w:t>
      </w:r>
    </w:p>
    <w:p w:rsidR="001C72A7" w:rsidRPr="001C72A7" w:rsidRDefault="001C72A7" w:rsidP="001C72A7">
      <w:pPr>
        <w:widowControl w:val="0"/>
        <w:autoSpaceDE w:val="0"/>
        <w:autoSpaceDN w:val="0"/>
        <w:adjustRightInd w:val="0"/>
        <w:spacing w:before="240" w:after="240" w:line="360" w:lineRule="auto"/>
        <w:rPr>
          <w:rFonts w:eastAsia="Arial" w:cs="Times New Roman"/>
          <w:noProof/>
          <w:sz w:val="22"/>
          <w:szCs w:val="22"/>
          <w:lang w:val="en"/>
        </w:rPr>
      </w:pPr>
      <w:r w:rsidRPr="001C72A7">
        <w:rPr>
          <w:rFonts w:eastAsia="Arial" w:cs="Times New Roman"/>
          <w:i/>
          <w:iCs/>
          <w:noProof/>
          <w:sz w:val="22"/>
          <w:szCs w:val="22"/>
          <w:lang w:val="en"/>
        </w:rPr>
        <w:t>Malnutrition in Children - UNICEF DATA</w:t>
      </w:r>
      <w:r w:rsidRPr="001C72A7">
        <w:rPr>
          <w:rFonts w:eastAsia="Arial" w:cs="Times New Roman"/>
          <w:noProof/>
          <w:sz w:val="22"/>
          <w:szCs w:val="22"/>
          <w:lang w:val="en"/>
        </w:rPr>
        <w:t xml:space="preserve"> (no date). Available at: https://data.unicef.org/topic/nutrition/malnutrition/ (Accessed: 13 June 2020).</w:t>
      </w:r>
    </w:p>
    <w:p w:rsidR="001C72A7" w:rsidRPr="001C72A7" w:rsidRDefault="001C72A7" w:rsidP="001C72A7">
      <w:pPr>
        <w:widowControl w:val="0"/>
        <w:autoSpaceDE w:val="0"/>
        <w:autoSpaceDN w:val="0"/>
        <w:adjustRightInd w:val="0"/>
        <w:spacing w:before="240" w:after="240" w:line="360" w:lineRule="auto"/>
        <w:rPr>
          <w:rFonts w:eastAsia="Arial" w:cs="Times New Roman"/>
          <w:noProof/>
          <w:sz w:val="22"/>
          <w:szCs w:val="22"/>
          <w:lang w:val="en"/>
        </w:rPr>
      </w:pPr>
      <w:r w:rsidRPr="001C72A7">
        <w:rPr>
          <w:rFonts w:eastAsia="Arial" w:cs="Times New Roman"/>
          <w:noProof/>
          <w:sz w:val="22"/>
          <w:szCs w:val="22"/>
          <w:lang w:val="en"/>
        </w:rPr>
        <w:t xml:space="preserve">Mariama Sow (2017) </w:t>
      </w:r>
      <w:r w:rsidRPr="001C72A7">
        <w:rPr>
          <w:rFonts w:eastAsia="Arial" w:cs="Times New Roman"/>
          <w:i/>
          <w:iCs/>
          <w:noProof/>
          <w:sz w:val="22"/>
          <w:szCs w:val="22"/>
          <w:lang w:val="en"/>
        </w:rPr>
        <w:t>Africa’s progress on the SDGs and Agenda 2063</w:t>
      </w:r>
      <w:r w:rsidRPr="001C72A7">
        <w:rPr>
          <w:rFonts w:eastAsia="Arial" w:cs="Times New Roman"/>
          <w:noProof/>
          <w:sz w:val="22"/>
          <w:szCs w:val="22"/>
          <w:lang w:val="en"/>
        </w:rPr>
        <w:t>.</w:t>
      </w:r>
    </w:p>
    <w:p w:rsidR="001C72A7" w:rsidRPr="001C72A7" w:rsidRDefault="001C72A7" w:rsidP="001C72A7">
      <w:pPr>
        <w:widowControl w:val="0"/>
        <w:autoSpaceDE w:val="0"/>
        <w:autoSpaceDN w:val="0"/>
        <w:adjustRightInd w:val="0"/>
        <w:spacing w:before="240" w:after="240" w:line="360" w:lineRule="auto"/>
        <w:rPr>
          <w:rFonts w:eastAsia="Arial" w:cs="Times New Roman"/>
          <w:noProof/>
          <w:sz w:val="22"/>
          <w:szCs w:val="22"/>
          <w:lang w:val="en"/>
        </w:rPr>
      </w:pPr>
      <w:r w:rsidRPr="001C72A7">
        <w:rPr>
          <w:rFonts w:eastAsia="Arial" w:cs="Times New Roman"/>
          <w:noProof/>
          <w:sz w:val="22"/>
          <w:szCs w:val="22"/>
          <w:lang w:val="en"/>
        </w:rPr>
        <w:t xml:space="preserve">Millimet, D. L. and Roy, M. (2015) ‘Partial identification of the long-run causal effect of food security on child health’, </w:t>
      </w:r>
      <w:r w:rsidRPr="001C72A7">
        <w:rPr>
          <w:rFonts w:eastAsia="Arial" w:cs="Times New Roman"/>
          <w:i/>
          <w:iCs/>
          <w:noProof/>
          <w:sz w:val="22"/>
          <w:szCs w:val="22"/>
          <w:lang w:val="en"/>
        </w:rPr>
        <w:t>Empirical Economics</w:t>
      </w:r>
      <w:r w:rsidRPr="001C72A7">
        <w:rPr>
          <w:rFonts w:eastAsia="Arial" w:cs="Times New Roman"/>
          <w:noProof/>
          <w:sz w:val="22"/>
          <w:szCs w:val="22"/>
          <w:lang w:val="en"/>
        </w:rPr>
        <w:t>, 48(1), pp. 83–141. doi: 10.1007/s00181-014-0867-x.</w:t>
      </w:r>
    </w:p>
    <w:p w:rsidR="001C72A7" w:rsidRPr="001C72A7" w:rsidRDefault="001C72A7" w:rsidP="001C72A7">
      <w:pPr>
        <w:widowControl w:val="0"/>
        <w:autoSpaceDE w:val="0"/>
        <w:autoSpaceDN w:val="0"/>
        <w:adjustRightInd w:val="0"/>
        <w:spacing w:before="240" w:after="240" w:line="360" w:lineRule="auto"/>
        <w:rPr>
          <w:rFonts w:eastAsia="Arial" w:cs="Times New Roman"/>
          <w:noProof/>
          <w:sz w:val="22"/>
          <w:szCs w:val="22"/>
          <w:lang w:val="en"/>
        </w:rPr>
      </w:pPr>
      <w:r w:rsidRPr="001C72A7">
        <w:rPr>
          <w:rFonts w:eastAsia="Arial" w:cs="Times New Roman"/>
          <w:noProof/>
          <w:sz w:val="22"/>
          <w:szCs w:val="22"/>
          <w:lang w:val="en"/>
        </w:rPr>
        <w:t xml:space="preserve">Mkonda, M. Y. and He, X. (2017) ‘Yields of the major food crops: Implications to food security and policy in Tanzania’s semi-arid agro-ecological zone’, </w:t>
      </w:r>
      <w:r w:rsidRPr="001C72A7">
        <w:rPr>
          <w:rFonts w:eastAsia="Arial" w:cs="Times New Roman"/>
          <w:i/>
          <w:iCs/>
          <w:noProof/>
          <w:sz w:val="22"/>
          <w:szCs w:val="22"/>
          <w:lang w:val="en"/>
        </w:rPr>
        <w:t>Sustainability (Switzerland)</w:t>
      </w:r>
      <w:r w:rsidRPr="001C72A7">
        <w:rPr>
          <w:rFonts w:eastAsia="Arial" w:cs="Times New Roman"/>
          <w:noProof/>
          <w:sz w:val="22"/>
          <w:szCs w:val="22"/>
          <w:lang w:val="en"/>
        </w:rPr>
        <w:t>, 9(8). doi: 10.3390/su9081490.</w:t>
      </w:r>
    </w:p>
    <w:p w:rsidR="001C72A7" w:rsidRPr="001C72A7" w:rsidRDefault="001C72A7" w:rsidP="001C72A7">
      <w:pPr>
        <w:widowControl w:val="0"/>
        <w:autoSpaceDE w:val="0"/>
        <w:autoSpaceDN w:val="0"/>
        <w:adjustRightInd w:val="0"/>
        <w:spacing w:before="240" w:after="240" w:line="360" w:lineRule="auto"/>
        <w:rPr>
          <w:rFonts w:eastAsia="Arial" w:cs="Times New Roman"/>
          <w:noProof/>
          <w:sz w:val="22"/>
          <w:szCs w:val="22"/>
          <w:lang w:val="en"/>
        </w:rPr>
      </w:pPr>
      <w:r w:rsidRPr="00570077">
        <w:rPr>
          <w:rFonts w:eastAsia="Arial" w:cs="Times New Roman"/>
          <w:noProof/>
          <w:sz w:val="22"/>
          <w:szCs w:val="22"/>
          <w:lang w:val="es-ES"/>
        </w:rPr>
        <w:t xml:space="preserve">De Onis, M. </w:t>
      </w:r>
      <w:r w:rsidRPr="00570077">
        <w:rPr>
          <w:rFonts w:eastAsia="Arial" w:cs="Times New Roman"/>
          <w:i/>
          <w:iCs/>
          <w:noProof/>
          <w:sz w:val="22"/>
          <w:szCs w:val="22"/>
          <w:lang w:val="es-ES"/>
        </w:rPr>
        <w:t>et al.</w:t>
      </w:r>
      <w:r w:rsidRPr="00570077">
        <w:rPr>
          <w:rFonts w:eastAsia="Arial" w:cs="Times New Roman"/>
          <w:noProof/>
          <w:sz w:val="22"/>
          <w:szCs w:val="22"/>
          <w:lang w:val="es-ES"/>
        </w:rPr>
        <w:t xml:space="preserve"> </w:t>
      </w:r>
      <w:r w:rsidRPr="001C72A7">
        <w:rPr>
          <w:rFonts w:eastAsia="Arial" w:cs="Times New Roman"/>
          <w:noProof/>
          <w:sz w:val="22"/>
          <w:szCs w:val="22"/>
          <w:lang w:val="en"/>
        </w:rPr>
        <w:t xml:space="preserve">(2019) ‘Prevalence thresholds for wasting, overweight and stunting in children under 5 years’, </w:t>
      </w:r>
      <w:r w:rsidRPr="001C72A7">
        <w:rPr>
          <w:rFonts w:eastAsia="Arial" w:cs="Times New Roman"/>
          <w:i/>
          <w:iCs/>
          <w:noProof/>
          <w:sz w:val="22"/>
          <w:szCs w:val="22"/>
          <w:lang w:val="en"/>
        </w:rPr>
        <w:t>Public Health Nutrition</w:t>
      </w:r>
      <w:r w:rsidRPr="001C72A7">
        <w:rPr>
          <w:rFonts w:eastAsia="Arial" w:cs="Times New Roman"/>
          <w:noProof/>
          <w:sz w:val="22"/>
          <w:szCs w:val="22"/>
          <w:lang w:val="en"/>
        </w:rPr>
        <w:t>, 22(1), pp. 175–179. doi: 10.1017/S1368980018002434.</w:t>
      </w:r>
    </w:p>
    <w:p w:rsidR="001C72A7" w:rsidRPr="001C72A7" w:rsidRDefault="001C72A7" w:rsidP="001C72A7">
      <w:pPr>
        <w:widowControl w:val="0"/>
        <w:autoSpaceDE w:val="0"/>
        <w:autoSpaceDN w:val="0"/>
        <w:adjustRightInd w:val="0"/>
        <w:spacing w:before="240" w:after="240" w:line="360" w:lineRule="auto"/>
        <w:rPr>
          <w:rFonts w:eastAsia="Arial" w:cs="Times New Roman"/>
          <w:noProof/>
          <w:sz w:val="22"/>
          <w:szCs w:val="22"/>
          <w:lang w:val="en"/>
        </w:rPr>
      </w:pPr>
      <w:r w:rsidRPr="001C72A7">
        <w:rPr>
          <w:rFonts w:eastAsia="Arial" w:cs="Times New Roman"/>
          <w:noProof/>
          <w:sz w:val="22"/>
          <w:szCs w:val="22"/>
          <w:lang w:val="en"/>
        </w:rPr>
        <w:t xml:space="preserve">Richter, L. M. </w:t>
      </w:r>
      <w:r w:rsidRPr="001C72A7">
        <w:rPr>
          <w:rFonts w:eastAsia="Arial" w:cs="Times New Roman"/>
          <w:i/>
          <w:iCs/>
          <w:noProof/>
          <w:sz w:val="22"/>
          <w:szCs w:val="22"/>
          <w:lang w:val="en"/>
        </w:rPr>
        <w:t>et al.</w:t>
      </w:r>
      <w:r w:rsidRPr="001C72A7">
        <w:rPr>
          <w:rFonts w:eastAsia="Arial" w:cs="Times New Roman"/>
          <w:noProof/>
          <w:sz w:val="22"/>
          <w:szCs w:val="22"/>
          <w:lang w:val="en"/>
        </w:rPr>
        <w:t xml:space="preserve"> (2017) ‘Investing in the foundation of sustainable development: pathways to scale up for early childhood development’, </w:t>
      </w:r>
      <w:r w:rsidRPr="001C72A7">
        <w:rPr>
          <w:rFonts w:eastAsia="Arial" w:cs="Times New Roman"/>
          <w:i/>
          <w:iCs/>
          <w:noProof/>
          <w:sz w:val="22"/>
          <w:szCs w:val="22"/>
          <w:lang w:val="en"/>
        </w:rPr>
        <w:t>The Lancet</w:t>
      </w:r>
      <w:r w:rsidRPr="001C72A7">
        <w:rPr>
          <w:rFonts w:eastAsia="Arial" w:cs="Times New Roman"/>
          <w:noProof/>
          <w:sz w:val="22"/>
          <w:szCs w:val="22"/>
          <w:lang w:val="en"/>
        </w:rPr>
        <w:t>, 389(10064), pp. 103–118. doi: 10.1016/S0140-6736(16)31698-1.</w:t>
      </w:r>
    </w:p>
    <w:p w:rsidR="001C72A7" w:rsidRPr="001C72A7" w:rsidRDefault="001C72A7" w:rsidP="001C72A7">
      <w:pPr>
        <w:widowControl w:val="0"/>
        <w:autoSpaceDE w:val="0"/>
        <w:autoSpaceDN w:val="0"/>
        <w:adjustRightInd w:val="0"/>
        <w:spacing w:before="240" w:after="240" w:line="360" w:lineRule="auto"/>
        <w:rPr>
          <w:rFonts w:eastAsia="Arial" w:cs="Times New Roman"/>
          <w:noProof/>
          <w:sz w:val="22"/>
          <w:szCs w:val="22"/>
          <w:lang w:val="en"/>
        </w:rPr>
      </w:pPr>
      <w:r w:rsidRPr="001C72A7">
        <w:rPr>
          <w:rFonts w:eastAsia="Arial" w:cs="Times New Roman"/>
          <w:noProof/>
          <w:sz w:val="22"/>
          <w:szCs w:val="22"/>
          <w:lang w:val="en"/>
        </w:rPr>
        <w:t xml:space="preserve">Schuenemann, F., Msangi, S. and Zeller, M. (2018) ‘Policies for a Sustainable Biomass Energy Sector in Malawi: Enhancing Energy and Food Security Simultaneously’, </w:t>
      </w:r>
      <w:r w:rsidRPr="001C72A7">
        <w:rPr>
          <w:rFonts w:eastAsia="Arial" w:cs="Times New Roman"/>
          <w:i/>
          <w:iCs/>
          <w:noProof/>
          <w:sz w:val="22"/>
          <w:szCs w:val="22"/>
          <w:lang w:val="en"/>
        </w:rPr>
        <w:t>World Development</w:t>
      </w:r>
      <w:r w:rsidRPr="001C72A7">
        <w:rPr>
          <w:rFonts w:eastAsia="Arial" w:cs="Times New Roman"/>
          <w:noProof/>
          <w:sz w:val="22"/>
          <w:szCs w:val="22"/>
          <w:lang w:val="en"/>
        </w:rPr>
        <w:t>. Elsevier Ltd, 103, pp. 14–26. doi: 10.1016/j.worlddev.2017.10.011.</w:t>
      </w:r>
    </w:p>
    <w:p w:rsidR="001C72A7" w:rsidRPr="001C72A7" w:rsidRDefault="001C72A7" w:rsidP="001C72A7">
      <w:pPr>
        <w:widowControl w:val="0"/>
        <w:autoSpaceDE w:val="0"/>
        <w:autoSpaceDN w:val="0"/>
        <w:adjustRightInd w:val="0"/>
        <w:spacing w:before="240" w:after="240" w:line="360" w:lineRule="auto"/>
        <w:rPr>
          <w:rFonts w:eastAsia="Arial" w:cs="Times New Roman"/>
          <w:noProof/>
          <w:sz w:val="22"/>
          <w:szCs w:val="22"/>
          <w:lang w:val="en"/>
        </w:rPr>
      </w:pPr>
      <w:r w:rsidRPr="001C72A7">
        <w:rPr>
          <w:rFonts w:eastAsia="Arial" w:cs="Times New Roman"/>
          <w:noProof/>
          <w:sz w:val="22"/>
          <w:szCs w:val="22"/>
          <w:lang w:val="en"/>
        </w:rPr>
        <w:t xml:space="preserve">Smith, L. C. and Haddad, L. (2015) ‘Reducing Child Undernutrition: Past Drivers and Priorities for the Post-MDG Era’, </w:t>
      </w:r>
      <w:r w:rsidRPr="001C72A7">
        <w:rPr>
          <w:rFonts w:eastAsia="Arial" w:cs="Times New Roman"/>
          <w:i/>
          <w:iCs/>
          <w:noProof/>
          <w:sz w:val="22"/>
          <w:szCs w:val="22"/>
          <w:lang w:val="en"/>
        </w:rPr>
        <w:t>World Development</w:t>
      </w:r>
      <w:r w:rsidRPr="001C72A7">
        <w:rPr>
          <w:rFonts w:eastAsia="Arial" w:cs="Times New Roman"/>
          <w:noProof/>
          <w:sz w:val="22"/>
          <w:szCs w:val="22"/>
          <w:lang w:val="en"/>
        </w:rPr>
        <w:t>. Elsevier Ltd, 68(1), pp. 180–204. doi: 10.1016/j.worlddev.2014.11.014.</w:t>
      </w:r>
    </w:p>
    <w:p w:rsidR="001C72A7" w:rsidRPr="001C72A7" w:rsidRDefault="001C72A7" w:rsidP="001C72A7">
      <w:pPr>
        <w:widowControl w:val="0"/>
        <w:autoSpaceDE w:val="0"/>
        <w:autoSpaceDN w:val="0"/>
        <w:adjustRightInd w:val="0"/>
        <w:spacing w:before="240" w:after="240" w:line="360" w:lineRule="auto"/>
        <w:rPr>
          <w:rFonts w:eastAsia="Arial" w:cs="Times New Roman"/>
          <w:noProof/>
          <w:sz w:val="22"/>
          <w:szCs w:val="22"/>
          <w:lang w:val="en"/>
        </w:rPr>
      </w:pPr>
      <w:r w:rsidRPr="001C72A7">
        <w:rPr>
          <w:rFonts w:eastAsia="Arial" w:cs="Times New Roman"/>
          <w:noProof/>
          <w:sz w:val="22"/>
          <w:szCs w:val="22"/>
          <w:lang w:val="en"/>
        </w:rPr>
        <w:t xml:space="preserve">Speirs, K. E., Fiese, B. H. and STRONG Kids Research Team (2016) ‘The Relationship Between Food Insecurity and BMI for Preschool Children’, </w:t>
      </w:r>
      <w:r w:rsidRPr="001C72A7">
        <w:rPr>
          <w:rFonts w:eastAsia="Arial" w:cs="Times New Roman"/>
          <w:i/>
          <w:iCs/>
          <w:noProof/>
          <w:sz w:val="22"/>
          <w:szCs w:val="22"/>
          <w:lang w:val="en"/>
        </w:rPr>
        <w:t>Maternal and Child Health Journal</w:t>
      </w:r>
      <w:r w:rsidRPr="001C72A7">
        <w:rPr>
          <w:rFonts w:eastAsia="Arial" w:cs="Times New Roman"/>
          <w:noProof/>
          <w:sz w:val="22"/>
          <w:szCs w:val="22"/>
          <w:lang w:val="en"/>
        </w:rPr>
        <w:t>. Springer US, 20(4), pp. 925–933. doi: 10.1007/s10995-015-1881-0.</w:t>
      </w:r>
    </w:p>
    <w:p w:rsidR="001C72A7" w:rsidRPr="001C72A7" w:rsidRDefault="001C72A7" w:rsidP="001C72A7">
      <w:pPr>
        <w:widowControl w:val="0"/>
        <w:autoSpaceDE w:val="0"/>
        <w:autoSpaceDN w:val="0"/>
        <w:adjustRightInd w:val="0"/>
        <w:spacing w:before="240" w:after="240" w:line="360" w:lineRule="auto"/>
        <w:rPr>
          <w:rFonts w:eastAsia="Arial" w:cs="Times New Roman"/>
          <w:noProof/>
          <w:sz w:val="22"/>
          <w:szCs w:val="22"/>
          <w:lang w:val="en"/>
        </w:rPr>
      </w:pPr>
      <w:r w:rsidRPr="001C72A7">
        <w:rPr>
          <w:rFonts w:eastAsia="Arial" w:cs="Times New Roman"/>
          <w:noProof/>
          <w:sz w:val="22"/>
          <w:szCs w:val="22"/>
          <w:lang w:val="en"/>
        </w:rPr>
        <w:t xml:space="preserve">Talukder, A. </w:t>
      </w:r>
      <w:r w:rsidRPr="001C72A7">
        <w:rPr>
          <w:rFonts w:eastAsia="Arial" w:cs="Times New Roman"/>
          <w:i/>
          <w:iCs/>
          <w:noProof/>
          <w:sz w:val="22"/>
          <w:szCs w:val="22"/>
          <w:lang w:val="en"/>
        </w:rPr>
        <w:t>et al.</w:t>
      </w:r>
      <w:r w:rsidRPr="001C72A7">
        <w:rPr>
          <w:rFonts w:eastAsia="Arial" w:cs="Times New Roman"/>
          <w:noProof/>
          <w:sz w:val="22"/>
          <w:szCs w:val="22"/>
          <w:lang w:val="en"/>
        </w:rPr>
        <w:t xml:space="preserve"> (2010) ‘Homestead food production model contributes to improved household food security and nutrition status of young children and women in poor populations. lessons learned from scaling-up programs in Asia (Bangladesh, Cambodia, Nepal and Philippines)’, </w:t>
      </w:r>
      <w:r w:rsidRPr="001C72A7">
        <w:rPr>
          <w:rFonts w:eastAsia="Arial" w:cs="Times New Roman"/>
          <w:i/>
          <w:iCs/>
          <w:noProof/>
          <w:sz w:val="22"/>
          <w:szCs w:val="22"/>
          <w:lang w:val="en"/>
        </w:rPr>
        <w:t>Field Actions Science Reports. The journal of field actions</w:t>
      </w:r>
      <w:r w:rsidRPr="001C72A7">
        <w:rPr>
          <w:rFonts w:eastAsia="Arial" w:cs="Times New Roman"/>
          <w:noProof/>
          <w:sz w:val="22"/>
          <w:szCs w:val="22"/>
          <w:lang w:val="en"/>
        </w:rPr>
        <w:t>, (Special Issue 1), pp. 0–9.</w:t>
      </w:r>
    </w:p>
    <w:p w:rsidR="001C72A7" w:rsidRPr="001C72A7" w:rsidRDefault="001C72A7" w:rsidP="001C72A7">
      <w:pPr>
        <w:widowControl w:val="0"/>
        <w:autoSpaceDE w:val="0"/>
        <w:autoSpaceDN w:val="0"/>
        <w:adjustRightInd w:val="0"/>
        <w:spacing w:before="240" w:after="240" w:line="360" w:lineRule="auto"/>
        <w:rPr>
          <w:rFonts w:eastAsia="Arial" w:cs="Times New Roman"/>
          <w:noProof/>
          <w:sz w:val="22"/>
          <w:szCs w:val="22"/>
          <w:lang w:val="en"/>
        </w:rPr>
      </w:pPr>
      <w:r w:rsidRPr="001C72A7">
        <w:rPr>
          <w:rFonts w:eastAsia="Arial" w:cs="Times New Roman"/>
          <w:noProof/>
          <w:sz w:val="22"/>
          <w:szCs w:val="22"/>
          <w:lang w:val="en"/>
        </w:rPr>
        <w:t xml:space="preserve">Thome, K. </w:t>
      </w:r>
      <w:r w:rsidRPr="001C72A7">
        <w:rPr>
          <w:rFonts w:eastAsia="Arial" w:cs="Times New Roman"/>
          <w:i/>
          <w:iCs/>
          <w:noProof/>
          <w:sz w:val="22"/>
          <w:szCs w:val="22"/>
          <w:lang w:val="en"/>
        </w:rPr>
        <w:t>et al.</w:t>
      </w:r>
      <w:r w:rsidRPr="001C72A7">
        <w:rPr>
          <w:rFonts w:eastAsia="Arial" w:cs="Times New Roman"/>
          <w:noProof/>
          <w:sz w:val="22"/>
          <w:szCs w:val="22"/>
          <w:lang w:val="en"/>
        </w:rPr>
        <w:t xml:space="preserve"> (2018) ‘International Food Security Assessment, 2018-2028’, (June), p. 48.</w:t>
      </w:r>
    </w:p>
    <w:p w:rsidR="001C72A7" w:rsidRPr="001C72A7" w:rsidRDefault="001C72A7" w:rsidP="001C72A7">
      <w:pPr>
        <w:widowControl w:val="0"/>
        <w:autoSpaceDE w:val="0"/>
        <w:autoSpaceDN w:val="0"/>
        <w:adjustRightInd w:val="0"/>
        <w:spacing w:before="240" w:after="240" w:line="360" w:lineRule="auto"/>
        <w:rPr>
          <w:rFonts w:eastAsia="Arial" w:cs="Times New Roman"/>
          <w:noProof/>
          <w:sz w:val="22"/>
          <w:szCs w:val="22"/>
          <w:lang w:val="en"/>
        </w:rPr>
      </w:pPr>
      <w:r w:rsidRPr="001C72A7">
        <w:rPr>
          <w:rFonts w:eastAsia="Arial" w:cs="Times New Roman"/>
          <w:noProof/>
          <w:sz w:val="22"/>
          <w:szCs w:val="22"/>
          <w:lang w:val="en"/>
        </w:rPr>
        <w:t xml:space="preserve">UN (2015) </w:t>
      </w:r>
      <w:r w:rsidRPr="001C72A7">
        <w:rPr>
          <w:rFonts w:eastAsia="Arial" w:cs="Times New Roman"/>
          <w:i/>
          <w:iCs/>
          <w:noProof/>
          <w:sz w:val="22"/>
          <w:szCs w:val="22"/>
          <w:lang w:val="en"/>
        </w:rPr>
        <w:t>United Nations Millennium Development Goals</w:t>
      </w:r>
      <w:r w:rsidRPr="001C72A7">
        <w:rPr>
          <w:rFonts w:eastAsia="Arial" w:cs="Times New Roman"/>
          <w:noProof/>
          <w:sz w:val="22"/>
          <w:szCs w:val="22"/>
          <w:lang w:val="en"/>
        </w:rPr>
        <w:t xml:space="preserve">, </w:t>
      </w:r>
      <w:r w:rsidRPr="001C72A7">
        <w:rPr>
          <w:rFonts w:eastAsia="Arial" w:cs="Times New Roman"/>
          <w:i/>
          <w:iCs/>
          <w:noProof/>
          <w:sz w:val="22"/>
          <w:szCs w:val="22"/>
          <w:lang w:val="en"/>
        </w:rPr>
        <w:t>United Nations Millennium Development Goals</w:t>
      </w:r>
      <w:r w:rsidRPr="001C72A7">
        <w:rPr>
          <w:rFonts w:eastAsia="Arial" w:cs="Times New Roman"/>
          <w:noProof/>
          <w:sz w:val="22"/>
          <w:szCs w:val="22"/>
          <w:lang w:val="en"/>
        </w:rPr>
        <w:t>. Available at: https://www.un.org/millenniumgoals/ (Accessed: 19 May 2020).</w:t>
      </w:r>
    </w:p>
    <w:p w:rsidR="001C72A7" w:rsidRPr="001C72A7" w:rsidRDefault="001C72A7" w:rsidP="001C72A7">
      <w:pPr>
        <w:widowControl w:val="0"/>
        <w:autoSpaceDE w:val="0"/>
        <w:autoSpaceDN w:val="0"/>
        <w:adjustRightInd w:val="0"/>
        <w:spacing w:before="240" w:after="240" w:line="360" w:lineRule="auto"/>
        <w:rPr>
          <w:rFonts w:eastAsia="Arial" w:cs="Times New Roman"/>
          <w:noProof/>
          <w:sz w:val="22"/>
          <w:szCs w:val="22"/>
          <w:lang w:val="en"/>
        </w:rPr>
      </w:pPr>
      <w:r w:rsidRPr="001C72A7">
        <w:rPr>
          <w:rFonts w:eastAsia="Arial" w:cs="Times New Roman"/>
          <w:noProof/>
          <w:sz w:val="22"/>
          <w:szCs w:val="22"/>
          <w:lang w:val="en"/>
        </w:rPr>
        <w:t xml:space="preserve">UN (2019) </w:t>
      </w:r>
      <w:r w:rsidRPr="001C72A7">
        <w:rPr>
          <w:rFonts w:eastAsia="Arial" w:cs="Times New Roman"/>
          <w:i/>
          <w:iCs/>
          <w:noProof/>
          <w:sz w:val="22"/>
          <w:szCs w:val="22"/>
          <w:lang w:val="en"/>
        </w:rPr>
        <w:t>Goal 2: Zero Hunger; Sustainable Development Goals</w:t>
      </w:r>
      <w:r w:rsidRPr="001C72A7">
        <w:rPr>
          <w:rFonts w:eastAsia="Arial" w:cs="Times New Roman"/>
          <w:noProof/>
          <w:sz w:val="22"/>
          <w:szCs w:val="22"/>
          <w:lang w:val="en"/>
        </w:rPr>
        <w:t>. Available at: https://www.un.org/sustainabledevelopment/hunger/.</w:t>
      </w:r>
    </w:p>
    <w:p w:rsidR="001C72A7" w:rsidRPr="001C72A7" w:rsidRDefault="001C72A7" w:rsidP="001C72A7">
      <w:pPr>
        <w:widowControl w:val="0"/>
        <w:autoSpaceDE w:val="0"/>
        <w:autoSpaceDN w:val="0"/>
        <w:adjustRightInd w:val="0"/>
        <w:spacing w:before="240" w:after="240" w:line="360" w:lineRule="auto"/>
        <w:rPr>
          <w:rFonts w:eastAsia="Arial" w:cs="Times New Roman"/>
          <w:noProof/>
          <w:sz w:val="22"/>
          <w:szCs w:val="22"/>
          <w:lang w:val="en"/>
        </w:rPr>
      </w:pPr>
      <w:r w:rsidRPr="001C72A7">
        <w:rPr>
          <w:rFonts w:eastAsia="Arial" w:cs="Times New Roman"/>
          <w:noProof/>
          <w:sz w:val="22"/>
          <w:szCs w:val="22"/>
          <w:lang w:val="en"/>
        </w:rPr>
        <w:t xml:space="preserve">UN General Assembly (2015) </w:t>
      </w:r>
      <w:r w:rsidRPr="001C72A7">
        <w:rPr>
          <w:rFonts w:eastAsia="Arial" w:cs="Times New Roman"/>
          <w:i/>
          <w:iCs/>
          <w:noProof/>
          <w:sz w:val="22"/>
          <w:szCs w:val="22"/>
          <w:lang w:val="en"/>
        </w:rPr>
        <w:t>Transforming our world: the 2030 Agenda for Sustainable Development</w:t>
      </w:r>
      <w:r w:rsidRPr="001C72A7">
        <w:rPr>
          <w:rFonts w:eastAsia="Arial" w:cs="Times New Roman"/>
          <w:noProof/>
          <w:sz w:val="22"/>
          <w:szCs w:val="22"/>
          <w:lang w:val="en"/>
        </w:rPr>
        <w:t>.</w:t>
      </w:r>
    </w:p>
    <w:p w:rsidR="001C72A7" w:rsidRPr="001C72A7" w:rsidRDefault="001C72A7" w:rsidP="001C72A7">
      <w:pPr>
        <w:widowControl w:val="0"/>
        <w:autoSpaceDE w:val="0"/>
        <w:autoSpaceDN w:val="0"/>
        <w:adjustRightInd w:val="0"/>
        <w:spacing w:before="240" w:after="240" w:line="360" w:lineRule="auto"/>
        <w:rPr>
          <w:rFonts w:eastAsia="Arial" w:cs="Times New Roman"/>
          <w:noProof/>
          <w:sz w:val="22"/>
          <w:szCs w:val="22"/>
          <w:lang w:val="en"/>
        </w:rPr>
      </w:pPr>
      <w:r w:rsidRPr="001C72A7">
        <w:rPr>
          <w:rFonts w:eastAsia="Arial" w:cs="Times New Roman"/>
          <w:noProof/>
          <w:sz w:val="22"/>
          <w:szCs w:val="22"/>
          <w:lang w:val="en"/>
        </w:rPr>
        <w:t xml:space="preserve">UN Statistical Division (no date) </w:t>
      </w:r>
      <w:r w:rsidRPr="001C72A7">
        <w:rPr>
          <w:rFonts w:eastAsia="Arial" w:cs="Times New Roman"/>
          <w:i/>
          <w:iCs/>
          <w:noProof/>
          <w:sz w:val="22"/>
          <w:szCs w:val="22"/>
          <w:lang w:val="en"/>
        </w:rPr>
        <w:t>Standard country or area codes for statistical use (M49)</w:t>
      </w:r>
      <w:r w:rsidRPr="001C72A7">
        <w:rPr>
          <w:rFonts w:eastAsia="Arial" w:cs="Times New Roman"/>
          <w:noProof/>
          <w:sz w:val="22"/>
          <w:szCs w:val="22"/>
          <w:lang w:val="en"/>
        </w:rPr>
        <w:t xml:space="preserve">, </w:t>
      </w:r>
      <w:r w:rsidRPr="001C72A7">
        <w:rPr>
          <w:rFonts w:eastAsia="Arial" w:cs="Times New Roman"/>
          <w:i/>
          <w:iCs/>
          <w:noProof/>
          <w:sz w:val="22"/>
          <w:szCs w:val="22"/>
          <w:lang w:val="en"/>
        </w:rPr>
        <w:t>UN Statistical Division</w:t>
      </w:r>
      <w:r w:rsidRPr="001C72A7">
        <w:rPr>
          <w:rFonts w:eastAsia="Arial" w:cs="Times New Roman"/>
          <w:noProof/>
          <w:sz w:val="22"/>
          <w:szCs w:val="22"/>
          <w:lang w:val="en"/>
        </w:rPr>
        <w:t>. Available at: https://unstats.un.org/unsd/methodology/m49/ (Accessed: 13 June 2020).</w:t>
      </w:r>
    </w:p>
    <w:p w:rsidR="001C72A7" w:rsidRPr="001C72A7" w:rsidRDefault="001C72A7" w:rsidP="001C72A7">
      <w:pPr>
        <w:widowControl w:val="0"/>
        <w:autoSpaceDE w:val="0"/>
        <w:autoSpaceDN w:val="0"/>
        <w:adjustRightInd w:val="0"/>
        <w:spacing w:before="240" w:after="240" w:line="360" w:lineRule="auto"/>
        <w:rPr>
          <w:rFonts w:eastAsia="Arial" w:cs="Times New Roman"/>
          <w:noProof/>
          <w:sz w:val="22"/>
          <w:szCs w:val="22"/>
          <w:lang w:val="en"/>
        </w:rPr>
      </w:pPr>
      <w:r w:rsidRPr="001C72A7">
        <w:rPr>
          <w:rFonts w:eastAsia="Arial" w:cs="Times New Roman"/>
          <w:i/>
          <w:iCs/>
          <w:noProof/>
          <w:sz w:val="22"/>
          <w:szCs w:val="22"/>
          <w:lang w:val="en"/>
        </w:rPr>
        <w:t>UN Stats Open SDG Data Hub</w:t>
      </w:r>
      <w:r w:rsidRPr="001C72A7">
        <w:rPr>
          <w:rFonts w:eastAsia="Arial" w:cs="Times New Roman"/>
          <w:noProof/>
          <w:sz w:val="22"/>
          <w:szCs w:val="22"/>
          <w:lang w:val="en"/>
        </w:rPr>
        <w:t xml:space="preserve"> (2019) </w:t>
      </w:r>
      <w:r w:rsidRPr="001C72A7">
        <w:rPr>
          <w:rFonts w:eastAsia="Arial" w:cs="Times New Roman"/>
          <w:i/>
          <w:iCs/>
          <w:noProof/>
          <w:sz w:val="22"/>
          <w:szCs w:val="22"/>
          <w:lang w:val="en"/>
        </w:rPr>
        <w:t>UN DESA Statistics Division</w:t>
      </w:r>
      <w:r w:rsidRPr="001C72A7">
        <w:rPr>
          <w:rFonts w:eastAsia="Arial" w:cs="Times New Roman"/>
          <w:noProof/>
          <w:sz w:val="22"/>
          <w:szCs w:val="22"/>
          <w:lang w:val="en"/>
        </w:rPr>
        <w:t>. Available at: http://unstats-undesa.opendata.arcgis.com/search?groupIds=065896a584ca4ceb920fbdd3892bee05 (Accessed: 19 May 2020).</w:t>
      </w:r>
    </w:p>
    <w:p w:rsidR="001C72A7" w:rsidRPr="001C72A7" w:rsidRDefault="001C72A7" w:rsidP="001C72A7">
      <w:pPr>
        <w:widowControl w:val="0"/>
        <w:autoSpaceDE w:val="0"/>
        <w:autoSpaceDN w:val="0"/>
        <w:adjustRightInd w:val="0"/>
        <w:spacing w:before="240" w:after="240" w:line="360" w:lineRule="auto"/>
        <w:rPr>
          <w:rFonts w:eastAsia="Arial" w:cs="Times New Roman"/>
          <w:noProof/>
          <w:sz w:val="22"/>
          <w:szCs w:val="22"/>
          <w:lang w:val="en"/>
        </w:rPr>
      </w:pPr>
      <w:r w:rsidRPr="001C72A7">
        <w:rPr>
          <w:rFonts w:eastAsia="Arial" w:cs="Times New Roman"/>
          <w:noProof/>
          <w:sz w:val="22"/>
          <w:szCs w:val="22"/>
          <w:lang w:val="en"/>
        </w:rPr>
        <w:t xml:space="preserve">UNICEF, WHO and World Bank (2019) </w:t>
      </w:r>
      <w:r w:rsidRPr="001C72A7">
        <w:rPr>
          <w:rFonts w:eastAsia="Arial" w:cs="Times New Roman"/>
          <w:i/>
          <w:iCs/>
          <w:noProof/>
          <w:sz w:val="22"/>
          <w:szCs w:val="22"/>
          <w:lang w:val="en"/>
        </w:rPr>
        <w:t>Joint child malnutrition estimates (global and regional), April 2019 edition</w:t>
      </w:r>
      <w:r w:rsidRPr="001C72A7">
        <w:rPr>
          <w:rFonts w:eastAsia="Arial" w:cs="Times New Roman"/>
          <w:noProof/>
          <w:sz w:val="22"/>
          <w:szCs w:val="22"/>
          <w:lang w:val="en"/>
        </w:rPr>
        <w:t xml:space="preserve">, </w:t>
      </w:r>
      <w:r w:rsidRPr="001C72A7">
        <w:rPr>
          <w:rFonts w:eastAsia="Arial" w:cs="Times New Roman"/>
          <w:i/>
          <w:iCs/>
          <w:noProof/>
          <w:sz w:val="22"/>
          <w:szCs w:val="22"/>
          <w:lang w:val="en"/>
        </w:rPr>
        <w:t>UNICEF Data: Monitoring the situation of children and women</w:t>
      </w:r>
      <w:r w:rsidRPr="001C72A7">
        <w:rPr>
          <w:rFonts w:eastAsia="Arial" w:cs="Times New Roman"/>
          <w:noProof/>
          <w:sz w:val="22"/>
          <w:szCs w:val="22"/>
          <w:lang w:val="en"/>
        </w:rPr>
        <w:t>. Available at: https://data.unicef.org/topic/nutrition/malnutrition/ (Accessed: 20 September 2009).</w:t>
      </w:r>
    </w:p>
    <w:p w:rsidR="001C72A7" w:rsidRPr="001C72A7" w:rsidRDefault="001C72A7" w:rsidP="001C72A7">
      <w:pPr>
        <w:widowControl w:val="0"/>
        <w:autoSpaceDE w:val="0"/>
        <w:autoSpaceDN w:val="0"/>
        <w:adjustRightInd w:val="0"/>
        <w:spacing w:before="240" w:after="240" w:line="360" w:lineRule="auto"/>
        <w:rPr>
          <w:rFonts w:eastAsia="Arial" w:cs="Times New Roman"/>
          <w:noProof/>
          <w:sz w:val="22"/>
          <w:szCs w:val="22"/>
          <w:lang w:val="en"/>
        </w:rPr>
      </w:pPr>
      <w:r w:rsidRPr="001C72A7">
        <w:rPr>
          <w:rFonts w:eastAsia="Arial" w:cs="Times New Roman"/>
          <w:noProof/>
          <w:sz w:val="22"/>
          <w:szCs w:val="22"/>
          <w:lang w:val="en"/>
        </w:rPr>
        <w:t xml:space="preserve">UNICEF, WHO and World Bank Group (2017) </w:t>
      </w:r>
      <w:r w:rsidRPr="001C72A7">
        <w:rPr>
          <w:rFonts w:eastAsia="Arial" w:cs="Times New Roman"/>
          <w:i/>
          <w:iCs/>
          <w:noProof/>
          <w:sz w:val="22"/>
          <w:szCs w:val="22"/>
          <w:lang w:val="en"/>
        </w:rPr>
        <w:t>LEVELS AND TRENDS IN CHILD MALNUTRITION</w:t>
      </w:r>
      <w:r w:rsidRPr="001C72A7">
        <w:rPr>
          <w:rFonts w:eastAsia="Arial" w:cs="Times New Roman"/>
          <w:noProof/>
          <w:sz w:val="22"/>
          <w:szCs w:val="22"/>
          <w:lang w:val="en"/>
        </w:rPr>
        <w:t xml:space="preserve">, </w:t>
      </w:r>
      <w:r w:rsidRPr="001C72A7">
        <w:rPr>
          <w:rFonts w:eastAsia="Arial" w:cs="Times New Roman"/>
          <w:i/>
          <w:iCs/>
          <w:noProof/>
          <w:sz w:val="22"/>
          <w:szCs w:val="22"/>
          <w:lang w:val="en"/>
        </w:rPr>
        <w:t>Key findings of the 2017 edition</w:t>
      </w:r>
      <w:r w:rsidRPr="001C72A7">
        <w:rPr>
          <w:rFonts w:eastAsia="Arial" w:cs="Times New Roman"/>
          <w:noProof/>
          <w:sz w:val="22"/>
          <w:szCs w:val="22"/>
          <w:lang w:val="en"/>
        </w:rPr>
        <w:t>. UNICEF WHO World Bank Group. doi: 10.1042/cs0470143.</w:t>
      </w:r>
    </w:p>
    <w:p w:rsidR="001C72A7" w:rsidRPr="001C72A7" w:rsidRDefault="001C72A7" w:rsidP="001C72A7">
      <w:pPr>
        <w:widowControl w:val="0"/>
        <w:autoSpaceDE w:val="0"/>
        <w:autoSpaceDN w:val="0"/>
        <w:adjustRightInd w:val="0"/>
        <w:spacing w:before="240" w:after="240" w:line="360" w:lineRule="auto"/>
        <w:rPr>
          <w:rFonts w:eastAsia="Arial" w:cs="Times New Roman"/>
          <w:noProof/>
          <w:sz w:val="22"/>
          <w:szCs w:val="22"/>
          <w:lang w:val="en"/>
        </w:rPr>
      </w:pPr>
      <w:r w:rsidRPr="001C72A7">
        <w:rPr>
          <w:rFonts w:eastAsia="Arial" w:cs="Times New Roman"/>
          <w:noProof/>
          <w:sz w:val="22"/>
          <w:szCs w:val="22"/>
          <w:lang w:val="en"/>
        </w:rPr>
        <w:t xml:space="preserve">United Nations (no date) </w:t>
      </w:r>
      <w:r w:rsidRPr="001C72A7">
        <w:rPr>
          <w:rFonts w:eastAsia="Arial" w:cs="Times New Roman"/>
          <w:i/>
          <w:iCs/>
          <w:noProof/>
          <w:sz w:val="22"/>
          <w:szCs w:val="22"/>
          <w:lang w:val="en"/>
        </w:rPr>
        <w:t>SDG Indicators Regional groupings used in 2017 Report and Statistical Annex</w:t>
      </w:r>
      <w:r w:rsidRPr="001C72A7">
        <w:rPr>
          <w:rFonts w:eastAsia="Arial" w:cs="Times New Roman"/>
          <w:noProof/>
          <w:sz w:val="22"/>
          <w:szCs w:val="22"/>
          <w:lang w:val="en"/>
        </w:rPr>
        <w:t>. Available at: https://unstats.un.org/sdgs/indicators/regional-groups/ (Accessed: 13 June 2020).</w:t>
      </w:r>
    </w:p>
    <w:p w:rsidR="001C72A7" w:rsidRPr="001C72A7" w:rsidRDefault="001C72A7" w:rsidP="001C72A7">
      <w:pPr>
        <w:widowControl w:val="0"/>
        <w:autoSpaceDE w:val="0"/>
        <w:autoSpaceDN w:val="0"/>
        <w:adjustRightInd w:val="0"/>
        <w:spacing w:before="240" w:after="240" w:line="360" w:lineRule="auto"/>
        <w:rPr>
          <w:rFonts w:eastAsia="Arial" w:cs="Times New Roman"/>
          <w:noProof/>
          <w:sz w:val="22"/>
          <w:szCs w:val="22"/>
          <w:lang w:val="en"/>
        </w:rPr>
      </w:pPr>
      <w:r w:rsidRPr="001C72A7">
        <w:rPr>
          <w:rFonts w:eastAsia="Arial" w:cs="Times New Roman"/>
          <w:noProof/>
          <w:sz w:val="22"/>
          <w:szCs w:val="22"/>
          <w:lang w:val="en"/>
        </w:rPr>
        <w:t xml:space="preserve">United Nations Economic Commission for Africa (2017) </w:t>
      </w:r>
      <w:r w:rsidRPr="001C72A7">
        <w:rPr>
          <w:rFonts w:eastAsia="Arial" w:cs="Times New Roman"/>
          <w:i/>
          <w:iCs/>
          <w:noProof/>
          <w:sz w:val="22"/>
          <w:szCs w:val="22"/>
          <w:lang w:val="en"/>
        </w:rPr>
        <w:t>Economic Report on Africa 2017: Urbanization and Industrialization for Africa’s Transformation</w:t>
      </w:r>
      <w:r w:rsidRPr="001C72A7">
        <w:rPr>
          <w:rFonts w:eastAsia="Arial" w:cs="Times New Roman"/>
          <w:noProof/>
          <w:sz w:val="22"/>
          <w:szCs w:val="22"/>
          <w:lang w:val="en"/>
        </w:rPr>
        <w:t>. Addis Ababa, Ethiopia All.</w:t>
      </w:r>
    </w:p>
    <w:p w:rsidR="001C72A7" w:rsidRPr="001C72A7" w:rsidRDefault="001C72A7" w:rsidP="001C72A7">
      <w:pPr>
        <w:widowControl w:val="0"/>
        <w:autoSpaceDE w:val="0"/>
        <w:autoSpaceDN w:val="0"/>
        <w:adjustRightInd w:val="0"/>
        <w:spacing w:before="240" w:after="240" w:line="360" w:lineRule="auto"/>
        <w:rPr>
          <w:rFonts w:eastAsia="Arial" w:cs="Times New Roman"/>
          <w:noProof/>
          <w:sz w:val="22"/>
          <w:szCs w:val="22"/>
          <w:lang w:val="en"/>
        </w:rPr>
      </w:pPr>
      <w:r w:rsidRPr="001C72A7">
        <w:rPr>
          <w:rFonts w:eastAsia="Arial" w:cs="Times New Roman"/>
          <w:noProof/>
          <w:sz w:val="22"/>
          <w:szCs w:val="22"/>
          <w:lang w:val="en"/>
        </w:rPr>
        <w:t xml:space="preserve">UNOCHA (2019) </w:t>
      </w:r>
      <w:r w:rsidRPr="001C72A7">
        <w:rPr>
          <w:rFonts w:eastAsia="Arial" w:cs="Times New Roman"/>
          <w:i/>
          <w:iCs/>
          <w:noProof/>
          <w:sz w:val="22"/>
          <w:szCs w:val="22"/>
          <w:lang w:val="en"/>
        </w:rPr>
        <w:t>United nations coordinated support to people affected by disaster and conflict</w:t>
      </w:r>
      <w:r w:rsidRPr="001C72A7">
        <w:rPr>
          <w:rFonts w:eastAsia="Arial" w:cs="Times New Roman"/>
          <w:noProof/>
          <w:sz w:val="22"/>
          <w:szCs w:val="22"/>
          <w:lang w:val="en"/>
        </w:rPr>
        <w:t>.</w:t>
      </w:r>
    </w:p>
    <w:p w:rsidR="001C72A7" w:rsidRPr="001C72A7" w:rsidRDefault="001C72A7" w:rsidP="001C72A7">
      <w:pPr>
        <w:widowControl w:val="0"/>
        <w:autoSpaceDE w:val="0"/>
        <w:autoSpaceDN w:val="0"/>
        <w:adjustRightInd w:val="0"/>
        <w:spacing w:before="240" w:after="240" w:line="360" w:lineRule="auto"/>
        <w:rPr>
          <w:rFonts w:eastAsia="Arial" w:cs="Times New Roman"/>
          <w:noProof/>
          <w:sz w:val="22"/>
          <w:szCs w:val="22"/>
          <w:lang w:val="en"/>
        </w:rPr>
      </w:pPr>
      <w:r w:rsidRPr="001C72A7">
        <w:rPr>
          <w:rFonts w:eastAsia="Arial" w:cs="Times New Roman"/>
          <w:noProof/>
          <w:sz w:val="22"/>
          <w:szCs w:val="22"/>
          <w:lang w:val="en"/>
        </w:rPr>
        <w:t xml:space="preserve">UNOHCHR (1966) </w:t>
      </w:r>
      <w:r w:rsidRPr="001C72A7">
        <w:rPr>
          <w:rFonts w:eastAsia="Arial" w:cs="Times New Roman"/>
          <w:i/>
          <w:iCs/>
          <w:noProof/>
          <w:sz w:val="22"/>
          <w:szCs w:val="22"/>
          <w:lang w:val="en"/>
        </w:rPr>
        <w:t>The United Nations international covenant on economic, social and cultural rights</w:t>
      </w:r>
      <w:r w:rsidRPr="001C72A7">
        <w:rPr>
          <w:rFonts w:eastAsia="Arial" w:cs="Times New Roman"/>
          <w:noProof/>
          <w:sz w:val="22"/>
          <w:szCs w:val="22"/>
          <w:lang w:val="en"/>
        </w:rPr>
        <w:t xml:space="preserve">, </w:t>
      </w:r>
      <w:r w:rsidRPr="001C72A7">
        <w:rPr>
          <w:rFonts w:eastAsia="Arial" w:cs="Times New Roman"/>
          <w:i/>
          <w:iCs/>
          <w:noProof/>
          <w:sz w:val="22"/>
          <w:szCs w:val="22"/>
          <w:lang w:val="en"/>
        </w:rPr>
        <w:t>International Covenant on Economic, Social and Cultural Rights</w:t>
      </w:r>
      <w:r w:rsidRPr="001C72A7">
        <w:rPr>
          <w:rFonts w:eastAsia="Arial" w:cs="Times New Roman"/>
          <w:noProof/>
          <w:sz w:val="22"/>
          <w:szCs w:val="22"/>
          <w:lang w:val="en"/>
        </w:rPr>
        <w:t>. doi: 10.1017/CBO9780511575372.009.</w:t>
      </w:r>
    </w:p>
    <w:p w:rsidR="001C72A7" w:rsidRPr="001C72A7" w:rsidRDefault="001C72A7" w:rsidP="001C72A7">
      <w:pPr>
        <w:widowControl w:val="0"/>
        <w:autoSpaceDE w:val="0"/>
        <w:autoSpaceDN w:val="0"/>
        <w:adjustRightInd w:val="0"/>
        <w:spacing w:before="240" w:after="240" w:line="360" w:lineRule="auto"/>
        <w:rPr>
          <w:rFonts w:eastAsia="Arial" w:cs="Times New Roman"/>
          <w:noProof/>
          <w:sz w:val="22"/>
          <w:szCs w:val="22"/>
          <w:lang w:val="en"/>
        </w:rPr>
      </w:pPr>
      <w:r w:rsidRPr="001C72A7">
        <w:rPr>
          <w:rFonts w:eastAsia="Arial" w:cs="Times New Roman"/>
          <w:noProof/>
          <w:sz w:val="22"/>
          <w:szCs w:val="22"/>
          <w:lang w:val="en"/>
        </w:rPr>
        <w:t xml:space="preserve">UNSDG and UN (2020) </w:t>
      </w:r>
      <w:r w:rsidRPr="001C72A7">
        <w:rPr>
          <w:rFonts w:eastAsia="Arial" w:cs="Times New Roman"/>
          <w:i/>
          <w:iCs/>
          <w:noProof/>
          <w:sz w:val="22"/>
          <w:szCs w:val="22"/>
          <w:lang w:val="en"/>
        </w:rPr>
        <w:t>SDG Indicators — SDG Indicators</w:t>
      </w:r>
      <w:r w:rsidRPr="001C72A7">
        <w:rPr>
          <w:rFonts w:eastAsia="Arial" w:cs="Times New Roman"/>
          <w:noProof/>
          <w:sz w:val="22"/>
          <w:szCs w:val="22"/>
          <w:lang w:val="en"/>
        </w:rPr>
        <w:t xml:space="preserve">, </w:t>
      </w:r>
      <w:r w:rsidRPr="001C72A7">
        <w:rPr>
          <w:rFonts w:eastAsia="Arial" w:cs="Times New Roman"/>
          <w:i/>
          <w:iCs/>
          <w:noProof/>
          <w:sz w:val="22"/>
          <w:szCs w:val="22"/>
          <w:lang w:val="en"/>
        </w:rPr>
        <w:t>Metadata repository</w:t>
      </w:r>
      <w:r w:rsidRPr="001C72A7">
        <w:rPr>
          <w:rFonts w:eastAsia="Arial" w:cs="Times New Roman"/>
          <w:noProof/>
          <w:sz w:val="22"/>
          <w:szCs w:val="22"/>
          <w:lang w:val="en"/>
        </w:rPr>
        <w:t>. Available at: https://unstats.un.org/sdgs/indicators/regional-groups/ (Accessed: 19 May 2020).</w:t>
      </w:r>
    </w:p>
    <w:p w:rsidR="001C72A7" w:rsidRPr="001C72A7" w:rsidRDefault="001C72A7" w:rsidP="001C72A7">
      <w:pPr>
        <w:widowControl w:val="0"/>
        <w:autoSpaceDE w:val="0"/>
        <w:autoSpaceDN w:val="0"/>
        <w:adjustRightInd w:val="0"/>
        <w:spacing w:before="240" w:after="240" w:line="360" w:lineRule="auto"/>
        <w:rPr>
          <w:rFonts w:eastAsia="Arial" w:cs="Times New Roman"/>
          <w:noProof/>
          <w:sz w:val="22"/>
          <w:szCs w:val="22"/>
          <w:lang w:val="en"/>
        </w:rPr>
      </w:pPr>
      <w:r w:rsidRPr="001C72A7">
        <w:rPr>
          <w:rFonts w:eastAsia="Arial" w:cs="Times New Roman"/>
          <w:noProof/>
          <w:sz w:val="22"/>
          <w:szCs w:val="22"/>
          <w:lang w:val="en"/>
        </w:rPr>
        <w:t xml:space="preserve">Webb, P. </w:t>
      </w:r>
      <w:r w:rsidRPr="001C72A7">
        <w:rPr>
          <w:rFonts w:eastAsia="Arial" w:cs="Times New Roman"/>
          <w:i/>
          <w:iCs/>
          <w:noProof/>
          <w:sz w:val="22"/>
          <w:szCs w:val="22"/>
          <w:lang w:val="en"/>
        </w:rPr>
        <w:t>et al.</w:t>
      </w:r>
      <w:r w:rsidRPr="001C72A7">
        <w:rPr>
          <w:rFonts w:eastAsia="Arial" w:cs="Times New Roman"/>
          <w:noProof/>
          <w:sz w:val="22"/>
          <w:szCs w:val="22"/>
          <w:lang w:val="en"/>
        </w:rPr>
        <w:t xml:space="preserve"> (2018) ‘Hunger and malnutrition in the 21st century’, </w:t>
      </w:r>
      <w:r w:rsidRPr="001C72A7">
        <w:rPr>
          <w:rFonts w:eastAsia="Arial" w:cs="Times New Roman"/>
          <w:i/>
          <w:iCs/>
          <w:noProof/>
          <w:sz w:val="22"/>
          <w:szCs w:val="22"/>
          <w:lang w:val="en"/>
        </w:rPr>
        <w:t>BMJ (Online)</w:t>
      </w:r>
      <w:r w:rsidRPr="001C72A7">
        <w:rPr>
          <w:rFonts w:eastAsia="Arial" w:cs="Times New Roman"/>
          <w:noProof/>
          <w:sz w:val="22"/>
          <w:szCs w:val="22"/>
          <w:lang w:val="en"/>
        </w:rPr>
        <w:t>, 361, pp. 1–5. doi: 10.1136/bmj.k2238.</w:t>
      </w:r>
    </w:p>
    <w:p w:rsidR="001C72A7" w:rsidRPr="001C72A7" w:rsidRDefault="001C72A7" w:rsidP="001C72A7">
      <w:pPr>
        <w:widowControl w:val="0"/>
        <w:autoSpaceDE w:val="0"/>
        <w:autoSpaceDN w:val="0"/>
        <w:adjustRightInd w:val="0"/>
        <w:spacing w:before="240" w:after="240" w:line="360" w:lineRule="auto"/>
        <w:rPr>
          <w:rFonts w:eastAsia="Arial" w:cs="Times New Roman"/>
          <w:noProof/>
          <w:sz w:val="22"/>
          <w:szCs w:val="22"/>
          <w:lang w:val="en"/>
        </w:rPr>
      </w:pPr>
      <w:r w:rsidRPr="001C72A7">
        <w:rPr>
          <w:rFonts w:eastAsia="Arial" w:cs="Times New Roman"/>
          <w:noProof/>
          <w:sz w:val="22"/>
          <w:szCs w:val="22"/>
          <w:lang w:val="en"/>
        </w:rPr>
        <w:t xml:space="preserve">Whitaker, R. C., Phillips, S. M. and Orzol, S. M. (2006) ‘Food insecurity and the risks of depression and anxiety in mothers and behavior problems in their preschool-aged children’, </w:t>
      </w:r>
      <w:r w:rsidRPr="001C72A7">
        <w:rPr>
          <w:rFonts w:eastAsia="Arial" w:cs="Times New Roman"/>
          <w:i/>
          <w:iCs/>
          <w:noProof/>
          <w:sz w:val="22"/>
          <w:szCs w:val="22"/>
          <w:lang w:val="en"/>
        </w:rPr>
        <w:t>Pediatrics</w:t>
      </w:r>
      <w:r w:rsidRPr="001C72A7">
        <w:rPr>
          <w:rFonts w:eastAsia="Arial" w:cs="Times New Roman"/>
          <w:noProof/>
          <w:sz w:val="22"/>
          <w:szCs w:val="22"/>
          <w:lang w:val="en"/>
        </w:rPr>
        <w:t>, 118(3). doi: 10.1542/peds.2006-0239.</w:t>
      </w:r>
    </w:p>
    <w:p w:rsidR="001C72A7" w:rsidRPr="001C72A7" w:rsidRDefault="001C72A7" w:rsidP="001C72A7">
      <w:pPr>
        <w:widowControl w:val="0"/>
        <w:autoSpaceDE w:val="0"/>
        <w:autoSpaceDN w:val="0"/>
        <w:adjustRightInd w:val="0"/>
        <w:spacing w:before="240" w:after="240" w:line="360" w:lineRule="auto"/>
        <w:rPr>
          <w:rFonts w:eastAsia="Arial" w:cs="Times New Roman"/>
          <w:noProof/>
          <w:sz w:val="22"/>
          <w:szCs w:val="22"/>
          <w:lang w:val="en"/>
        </w:rPr>
      </w:pPr>
      <w:r w:rsidRPr="001C72A7">
        <w:rPr>
          <w:rFonts w:eastAsia="Arial" w:cs="Times New Roman"/>
          <w:noProof/>
          <w:sz w:val="22"/>
          <w:szCs w:val="22"/>
          <w:lang w:val="en"/>
        </w:rPr>
        <w:t xml:space="preserve">WHO (2010) </w:t>
      </w:r>
      <w:r w:rsidRPr="001C72A7">
        <w:rPr>
          <w:rFonts w:eastAsia="Arial" w:cs="Times New Roman"/>
          <w:i/>
          <w:iCs/>
          <w:noProof/>
          <w:sz w:val="22"/>
          <w:szCs w:val="22"/>
          <w:lang w:val="en"/>
        </w:rPr>
        <w:t>Interpretation Guide Nutrition Landscape Information System (NLIS) Country Profile indiCators</w:t>
      </w:r>
      <w:r w:rsidRPr="001C72A7">
        <w:rPr>
          <w:rFonts w:eastAsia="Arial" w:cs="Times New Roman"/>
          <w:noProof/>
          <w:sz w:val="22"/>
          <w:szCs w:val="22"/>
          <w:lang w:val="en"/>
        </w:rPr>
        <w:t>.</w:t>
      </w:r>
    </w:p>
    <w:p w:rsidR="001C72A7" w:rsidRPr="001C72A7" w:rsidRDefault="001C72A7" w:rsidP="001C72A7">
      <w:pPr>
        <w:widowControl w:val="0"/>
        <w:autoSpaceDE w:val="0"/>
        <w:autoSpaceDN w:val="0"/>
        <w:adjustRightInd w:val="0"/>
        <w:spacing w:before="240" w:after="240" w:line="360" w:lineRule="auto"/>
        <w:rPr>
          <w:rFonts w:eastAsia="Arial" w:cs="Times New Roman"/>
          <w:noProof/>
          <w:sz w:val="22"/>
          <w:szCs w:val="22"/>
          <w:lang w:val="en"/>
        </w:rPr>
      </w:pPr>
      <w:r w:rsidRPr="001C72A7">
        <w:rPr>
          <w:rFonts w:eastAsia="Arial" w:cs="Times New Roman"/>
          <w:noProof/>
          <w:sz w:val="22"/>
          <w:szCs w:val="22"/>
          <w:lang w:val="en"/>
        </w:rPr>
        <w:t xml:space="preserve">WHO (2014) </w:t>
      </w:r>
      <w:r w:rsidRPr="001C72A7">
        <w:rPr>
          <w:rFonts w:eastAsia="Arial" w:cs="Times New Roman"/>
          <w:i/>
          <w:iCs/>
          <w:noProof/>
          <w:sz w:val="22"/>
          <w:szCs w:val="22"/>
          <w:lang w:val="en"/>
        </w:rPr>
        <w:t>Global Nutrition Targets 2025 Stunting Policy Brief</w:t>
      </w:r>
      <w:r w:rsidRPr="001C72A7">
        <w:rPr>
          <w:rFonts w:eastAsia="Arial" w:cs="Times New Roman"/>
          <w:noProof/>
          <w:sz w:val="22"/>
          <w:szCs w:val="22"/>
          <w:lang w:val="en"/>
        </w:rPr>
        <w:t>. Geneva, Switzerland.</w:t>
      </w:r>
    </w:p>
    <w:p w:rsidR="001C72A7" w:rsidRPr="001C72A7" w:rsidRDefault="001C72A7" w:rsidP="001C72A7">
      <w:pPr>
        <w:widowControl w:val="0"/>
        <w:autoSpaceDE w:val="0"/>
        <w:autoSpaceDN w:val="0"/>
        <w:adjustRightInd w:val="0"/>
        <w:spacing w:before="240" w:after="240" w:line="360" w:lineRule="auto"/>
        <w:rPr>
          <w:rFonts w:eastAsia="Arial" w:cs="Times New Roman"/>
          <w:noProof/>
          <w:sz w:val="22"/>
          <w:szCs w:val="22"/>
          <w:lang w:val="en"/>
        </w:rPr>
      </w:pPr>
      <w:r w:rsidRPr="001C72A7">
        <w:rPr>
          <w:rFonts w:eastAsia="Arial" w:cs="Times New Roman"/>
          <w:noProof/>
          <w:sz w:val="22"/>
          <w:szCs w:val="22"/>
          <w:lang w:val="en"/>
        </w:rPr>
        <w:t xml:space="preserve">WHO (2017) </w:t>
      </w:r>
      <w:r w:rsidRPr="001C72A7">
        <w:rPr>
          <w:rFonts w:eastAsia="Arial" w:cs="Times New Roman"/>
          <w:i/>
          <w:iCs/>
          <w:noProof/>
          <w:sz w:val="22"/>
          <w:szCs w:val="22"/>
          <w:lang w:val="en"/>
        </w:rPr>
        <w:t>Sudan Humanitarian Response Plan</w:t>
      </w:r>
      <w:r w:rsidRPr="001C72A7">
        <w:rPr>
          <w:rFonts w:eastAsia="Arial" w:cs="Times New Roman"/>
          <w:noProof/>
          <w:sz w:val="22"/>
          <w:szCs w:val="22"/>
          <w:lang w:val="en"/>
        </w:rPr>
        <w:t xml:space="preserve">, </w:t>
      </w:r>
      <w:r w:rsidRPr="001C72A7">
        <w:rPr>
          <w:rFonts w:eastAsia="Arial" w:cs="Times New Roman"/>
          <w:i/>
          <w:iCs/>
          <w:noProof/>
          <w:sz w:val="22"/>
          <w:szCs w:val="22"/>
          <w:lang w:val="en"/>
        </w:rPr>
        <w:t>World Health Organization</w:t>
      </w:r>
      <w:r w:rsidRPr="001C72A7">
        <w:rPr>
          <w:rFonts w:eastAsia="Arial" w:cs="Times New Roman"/>
          <w:noProof/>
          <w:sz w:val="22"/>
          <w:szCs w:val="22"/>
          <w:lang w:val="en"/>
        </w:rPr>
        <w:t>. Available at: https://www.who.int/emergencies/response-plans/2017/sudan/en/ (Accessed: 4 November 2020).</w:t>
      </w:r>
    </w:p>
    <w:p w:rsidR="001C72A7" w:rsidRPr="001C72A7" w:rsidRDefault="001C72A7" w:rsidP="001C72A7">
      <w:pPr>
        <w:widowControl w:val="0"/>
        <w:autoSpaceDE w:val="0"/>
        <w:autoSpaceDN w:val="0"/>
        <w:adjustRightInd w:val="0"/>
        <w:spacing w:before="240" w:after="240" w:line="360" w:lineRule="auto"/>
        <w:rPr>
          <w:rFonts w:eastAsia="Arial" w:cs="Times New Roman"/>
          <w:noProof/>
          <w:sz w:val="22"/>
          <w:szCs w:val="22"/>
          <w:lang w:val="en"/>
        </w:rPr>
      </w:pPr>
      <w:r w:rsidRPr="001C72A7">
        <w:rPr>
          <w:rFonts w:eastAsia="Arial" w:cs="Times New Roman"/>
          <w:noProof/>
          <w:sz w:val="22"/>
          <w:szCs w:val="22"/>
          <w:lang w:val="en"/>
        </w:rPr>
        <w:t xml:space="preserve">WHO (2018) </w:t>
      </w:r>
      <w:r w:rsidRPr="001C72A7">
        <w:rPr>
          <w:rFonts w:eastAsia="Arial" w:cs="Times New Roman"/>
          <w:i/>
          <w:iCs/>
          <w:noProof/>
          <w:sz w:val="22"/>
          <w:szCs w:val="22"/>
          <w:lang w:val="en"/>
        </w:rPr>
        <w:t>Global hunger continues to rise, new UN report says</w:t>
      </w:r>
      <w:r w:rsidRPr="001C72A7">
        <w:rPr>
          <w:rFonts w:eastAsia="Arial" w:cs="Times New Roman"/>
          <w:noProof/>
          <w:sz w:val="22"/>
          <w:szCs w:val="22"/>
          <w:lang w:val="en"/>
        </w:rPr>
        <w:t xml:space="preserve">, </w:t>
      </w:r>
      <w:r w:rsidRPr="001C72A7">
        <w:rPr>
          <w:rFonts w:eastAsia="Arial" w:cs="Times New Roman"/>
          <w:i/>
          <w:iCs/>
          <w:noProof/>
          <w:sz w:val="22"/>
          <w:szCs w:val="22"/>
          <w:lang w:val="en"/>
        </w:rPr>
        <w:t>World Health Organization</w:t>
      </w:r>
      <w:r w:rsidRPr="001C72A7">
        <w:rPr>
          <w:rFonts w:eastAsia="Arial" w:cs="Times New Roman"/>
          <w:noProof/>
          <w:sz w:val="22"/>
          <w:szCs w:val="22"/>
          <w:lang w:val="en"/>
        </w:rPr>
        <w:t>. Available at: https://www.who.int/news-room/detail/11-09-2018-global-hunger-continues-to-rise---new-un-report-says (Accessed: 8 April 2020).</w:t>
      </w:r>
    </w:p>
    <w:p w:rsidR="001C72A7" w:rsidRPr="001C72A7" w:rsidRDefault="001C72A7" w:rsidP="001C72A7">
      <w:pPr>
        <w:widowControl w:val="0"/>
        <w:autoSpaceDE w:val="0"/>
        <w:autoSpaceDN w:val="0"/>
        <w:adjustRightInd w:val="0"/>
        <w:spacing w:before="240" w:after="240" w:line="360" w:lineRule="auto"/>
        <w:rPr>
          <w:rFonts w:eastAsia="Arial" w:cs="Times New Roman"/>
          <w:noProof/>
          <w:sz w:val="22"/>
          <w:szCs w:val="22"/>
          <w:lang w:val="en"/>
        </w:rPr>
      </w:pPr>
      <w:r w:rsidRPr="001C72A7">
        <w:rPr>
          <w:rFonts w:eastAsia="Arial" w:cs="Times New Roman"/>
          <w:noProof/>
          <w:sz w:val="22"/>
          <w:szCs w:val="22"/>
          <w:lang w:val="en"/>
        </w:rPr>
        <w:t xml:space="preserve">WHO (2019) </w:t>
      </w:r>
      <w:r w:rsidRPr="001C72A7">
        <w:rPr>
          <w:rFonts w:eastAsia="Arial" w:cs="Times New Roman"/>
          <w:i/>
          <w:iCs/>
          <w:noProof/>
          <w:sz w:val="22"/>
          <w:szCs w:val="22"/>
          <w:lang w:val="en"/>
        </w:rPr>
        <w:t>Global Health Observatory (GHO) data on Child Malnutrition</w:t>
      </w:r>
      <w:r w:rsidRPr="001C72A7">
        <w:rPr>
          <w:rFonts w:eastAsia="Arial" w:cs="Times New Roman"/>
          <w:noProof/>
          <w:sz w:val="22"/>
          <w:szCs w:val="22"/>
          <w:lang w:val="en"/>
        </w:rPr>
        <w:t xml:space="preserve">, </w:t>
      </w:r>
      <w:r w:rsidRPr="001C72A7">
        <w:rPr>
          <w:rFonts w:eastAsia="Arial" w:cs="Times New Roman"/>
          <w:i/>
          <w:iCs/>
          <w:noProof/>
          <w:sz w:val="22"/>
          <w:szCs w:val="22"/>
          <w:lang w:val="en"/>
        </w:rPr>
        <w:t>World Health Organization</w:t>
      </w:r>
      <w:r w:rsidRPr="001C72A7">
        <w:rPr>
          <w:rFonts w:eastAsia="Arial" w:cs="Times New Roman"/>
          <w:noProof/>
          <w:sz w:val="22"/>
          <w:szCs w:val="22"/>
          <w:lang w:val="en"/>
        </w:rPr>
        <w:t>. Available at: https://www.who.int/gho/child-malnutrition/en/ (Accessed: 4 November 2020).</w:t>
      </w:r>
    </w:p>
    <w:p w:rsidR="001C72A7" w:rsidRPr="001C72A7" w:rsidRDefault="001C72A7" w:rsidP="001C72A7">
      <w:pPr>
        <w:widowControl w:val="0"/>
        <w:autoSpaceDE w:val="0"/>
        <w:autoSpaceDN w:val="0"/>
        <w:adjustRightInd w:val="0"/>
        <w:spacing w:before="240" w:after="240" w:line="360" w:lineRule="auto"/>
        <w:rPr>
          <w:rFonts w:eastAsia="Arial" w:cs="Times New Roman"/>
          <w:noProof/>
          <w:sz w:val="22"/>
          <w:szCs w:val="22"/>
          <w:lang w:val="en"/>
        </w:rPr>
      </w:pPr>
      <w:r w:rsidRPr="001C72A7">
        <w:rPr>
          <w:rFonts w:eastAsia="Arial" w:cs="Times New Roman"/>
          <w:noProof/>
          <w:sz w:val="22"/>
          <w:szCs w:val="22"/>
          <w:lang w:val="en"/>
        </w:rPr>
        <w:t xml:space="preserve">World Bank (2019) </w:t>
      </w:r>
      <w:r w:rsidRPr="001C72A7">
        <w:rPr>
          <w:rFonts w:eastAsia="Arial" w:cs="Times New Roman"/>
          <w:i/>
          <w:iCs/>
          <w:noProof/>
          <w:sz w:val="22"/>
          <w:szCs w:val="22"/>
          <w:lang w:val="en"/>
        </w:rPr>
        <w:t>Sustainable Development Goals (SDGs) | DataBank</w:t>
      </w:r>
      <w:r w:rsidRPr="001C72A7">
        <w:rPr>
          <w:rFonts w:eastAsia="Arial" w:cs="Times New Roman"/>
          <w:noProof/>
          <w:sz w:val="22"/>
          <w:szCs w:val="22"/>
          <w:lang w:val="en"/>
        </w:rPr>
        <w:t xml:space="preserve">, </w:t>
      </w:r>
      <w:r w:rsidRPr="001C72A7">
        <w:rPr>
          <w:rFonts w:eastAsia="Arial" w:cs="Times New Roman"/>
          <w:i/>
          <w:iCs/>
          <w:noProof/>
          <w:sz w:val="22"/>
          <w:szCs w:val="22"/>
          <w:lang w:val="en"/>
        </w:rPr>
        <w:t>Databank</w:t>
      </w:r>
      <w:r w:rsidRPr="001C72A7">
        <w:rPr>
          <w:rFonts w:eastAsia="Arial" w:cs="Times New Roman"/>
          <w:noProof/>
          <w:sz w:val="22"/>
          <w:szCs w:val="22"/>
          <w:lang w:val="en"/>
        </w:rPr>
        <w:t>. Available at: https://databank.worldbank.org/reports.aspx?source=sustainable-development-goals-(sdgs) (Accessed: 19 May 2020).</w:t>
      </w:r>
    </w:p>
    <w:p w:rsidR="001C72A7" w:rsidRPr="001C72A7" w:rsidRDefault="001C72A7" w:rsidP="001C72A7">
      <w:pPr>
        <w:widowControl w:val="0"/>
        <w:autoSpaceDE w:val="0"/>
        <w:autoSpaceDN w:val="0"/>
        <w:adjustRightInd w:val="0"/>
        <w:spacing w:before="240" w:after="240" w:line="360" w:lineRule="auto"/>
        <w:rPr>
          <w:rFonts w:eastAsia="Arial" w:cs="Times New Roman"/>
          <w:noProof/>
          <w:sz w:val="22"/>
          <w:szCs w:val="22"/>
          <w:lang w:val="en"/>
        </w:rPr>
      </w:pPr>
      <w:r w:rsidRPr="001C72A7">
        <w:rPr>
          <w:rFonts w:eastAsia="Arial" w:cs="Times New Roman"/>
          <w:noProof/>
          <w:sz w:val="22"/>
          <w:szCs w:val="22"/>
          <w:lang w:val="en"/>
        </w:rPr>
        <w:t xml:space="preserve">World Bank (no date) </w:t>
      </w:r>
      <w:r w:rsidRPr="001C72A7">
        <w:rPr>
          <w:rFonts w:eastAsia="Arial" w:cs="Times New Roman"/>
          <w:i/>
          <w:iCs/>
          <w:noProof/>
          <w:sz w:val="22"/>
          <w:szCs w:val="22"/>
          <w:lang w:val="en"/>
        </w:rPr>
        <w:t>Sustainable Development Goals (SDG) | Data Catalog</w:t>
      </w:r>
      <w:r w:rsidRPr="001C72A7">
        <w:rPr>
          <w:rFonts w:eastAsia="Arial" w:cs="Times New Roman"/>
          <w:noProof/>
          <w:sz w:val="22"/>
          <w:szCs w:val="22"/>
          <w:lang w:val="en"/>
        </w:rPr>
        <w:t>. Available at: https://datacatalog.worldbank.org/dataset/sustainable-development-goals (Accessed: 19 May 2020).</w:t>
      </w:r>
    </w:p>
    <w:p w:rsidR="001C72A7" w:rsidRPr="001C72A7" w:rsidRDefault="001C72A7" w:rsidP="001C72A7">
      <w:pPr>
        <w:widowControl w:val="0"/>
        <w:autoSpaceDE w:val="0"/>
        <w:autoSpaceDN w:val="0"/>
        <w:adjustRightInd w:val="0"/>
        <w:spacing w:before="240" w:after="240" w:line="360" w:lineRule="auto"/>
        <w:rPr>
          <w:rFonts w:eastAsia="Arial" w:cs="Times New Roman"/>
          <w:noProof/>
          <w:sz w:val="22"/>
          <w:szCs w:val="22"/>
          <w:lang w:val="en"/>
        </w:rPr>
      </w:pPr>
      <w:r w:rsidRPr="001C72A7">
        <w:rPr>
          <w:rFonts w:eastAsia="Arial" w:cs="Times New Roman"/>
          <w:i/>
          <w:iCs/>
          <w:noProof/>
          <w:sz w:val="22"/>
          <w:szCs w:val="22"/>
          <w:lang w:val="en"/>
        </w:rPr>
        <w:t>World Development Indicators</w:t>
      </w:r>
      <w:r w:rsidRPr="001C72A7">
        <w:rPr>
          <w:rFonts w:eastAsia="Arial" w:cs="Times New Roman"/>
          <w:noProof/>
          <w:sz w:val="22"/>
          <w:szCs w:val="22"/>
          <w:lang w:val="en"/>
        </w:rPr>
        <w:t xml:space="preserve"> (2017) </w:t>
      </w:r>
      <w:r w:rsidRPr="001C72A7">
        <w:rPr>
          <w:rFonts w:eastAsia="Arial" w:cs="Times New Roman"/>
          <w:i/>
          <w:iCs/>
          <w:noProof/>
          <w:sz w:val="22"/>
          <w:szCs w:val="22"/>
          <w:lang w:val="en"/>
        </w:rPr>
        <w:t>World Development Indicators, The World Bank</w:t>
      </w:r>
      <w:r w:rsidRPr="001C72A7">
        <w:rPr>
          <w:rFonts w:eastAsia="Arial" w:cs="Times New Roman"/>
          <w:noProof/>
          <w:sz w:val="22"/>
          <w:szCs w:val="22"/>
          <w:lang w:val="en"/>
        </w:rPr>
        <w:t>. Available at: https://openknowledge.worldbank.org/handle/10986/26447 (Accessed: 13 June 2020).</w:t>
      </w:r>
    </w:p>
    <w:p w:rsidR="001C72A7" w:rsidRPr="001C72A7" w:rsidRDefault="001C72A7" w:rsidP="001C72A7">
      <w:pPr>
        <w:widowControl w:val="0"/>
        <w:autoSpaceDE w:val="0"/>
        <w:autoSpaceDN w:val="0"/>
        <w:adjustRightInd w:val="0"/>
        <w:spacing w:before="240" w:after="240" w:line="360" w:lineRule="auto"/>
        <w:rPr>
          <w:rFonts w:eastAsia="Arial" w:cs="Times New Roman"/>
          <w:noProof/>
          <w:sz w:val="22"/>
          <w:szCs w:val="22"/>
          <w:lang w:val="en"/>
        </w:rPr>
      </w:pPr>
      <w:r w:rsidRPr="001C72A7">
        <w:rPr>
          <w:rFonts w:eastAsia="Arial" w:cs="Times New Roman"/>
          <w:noProof/>
          <w:sz w:val="22"/>
          <w:szCs w:val="22"/>
          <w:lang w:val="en"/>
        </w:rPr>
        <w:t xml:space="preserve">World Health Organization (2019) </w:t>
      </w:r>
      <w:r w:rsidRPr="001C72A7">
        <w:rPr>
          <w:rFonts w:eastAsia="Arial" w:cs="Times New Roman"/>
          <w:i/>
          <w:iCs/>
          <w:noProof/>
          <w:sz w:val="22"/>
          <w:szCs w:val="22"/>
          <w:lang w:val="en"/>
        </w:rPr>
        <w:t>Children: reducing mortality</w:t>
      </w:r>
      <w:r w:rsidRPr="001C72A7">
        <w:rPr>
          <w:rFonts w:eastAsia="Arial" w:cs="Times New Roman"/>
          <w:noProof/>
          <w:sz w:val="22"/>
          <w:szCs w:val="22"/>
          <w:lang w:val="en"/>
        </w:rPr>
        <w:t>. Available at: https://www.who.int/news-room/fact-sheets/detail/children-reducing-mortality (Accessed: 8 April 2020).</w:t>
      </w:r>
    </w:p>
    <w:p w:rsidR="001C72A7" w:rsidRPr="001C72A7" w:rsidRDefault="001C72A7" w:rsidP="001C72A7">
      <w:pPr>
        <w:widowControl w:val="0"/>
        <w:autoSpaceDE w:val="0"/>
        <w:autoSpaceDN w:val="0"/>
        <w:adjustRightInd w:val="0"/>
        <w:spacing w:before="240" w:after="240" w:line="360" w:lineRule="auto"/>
        <w:rPr>
          <w:rFonts w:eastAsia="Times New Roman" w:cs="Times New Roman"/>
          <w:sz w:val="22"/>
          <w:szCs w:val="22"/>
          <w:highlight w:val="white"/>
          <w:lang w:val="en"/>
        </w:rPr>
      </w:pPr>
      <w:r w:rsidRPr="001C72A7">
        <w:rPr>
          <w:rFonts w:eastAsia="Times New Roman" w:cs="Times New Roman"/>
          <w:b/>
          <w:sz w:val="22"/>
          <w:szCs w:val="22"/>
          <w:lang w:val="en"/>
        </w:rPr>
        <w:fldChar w:fldCharType="end"/>
      </w:r>
    </w:p>
    <w:sectPr w:rsidR="001C72A7" w:rsidRPr="001C72A7" w:rsidSect="00D82730">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512" w:right="1080" w:bottom="1440" w:left="1080" w:header="720" w:footer="720" w:gutter="0"/>
      <w:cols w:num="2"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37D2" w:rsidRPr="00215F0B" w:rsidRDefault="00FA37D2" w:rsidP="008957B1">
      <w:pPr>
        <w:rPr>
          <w:sz w:val="18"/>
          <w:szCs w:val="18"/>
        </w:rPr>
      </w:pPr>
      <w:r w:rsidRPr="00215F0B">
        <w:rPr>
          <w:sz w:val="18"/>
          <w:szCs w:val="18"/>
        </w:rPr>
        <w:separator/>
      </w:r>
    </w:p>
    <w:p w:rsidR="00FA37D2" w:rsidRPr="00215F0B" w:rsidRDefault="00FA37D2" w:rsidP="008957B1">
      <w:pPr>
        <w:rPr>
          <w:sz w:val="18"/>
          <w:szCs w:val="18"/>
        </w:rPr>
      </w:pPr>
    </w:p>
    <w:p w:rsidR="00FA37D2" w:rsidRPr="00215F0B" w:rsidRDefault="00FA37D2">
      <w:pPr>
        <w:rPr>
          <w:sz w:val="18"/>
          <w:szCs w:val="18"/>
        </w:rPr>
      </w:pPr>
    </w:p>
    <w:p w:rsidR="00FA37D2" w:rsidRPr="00215F0B" w:rsidRDefault="00FA37D2">
      <w:pPr>
        <w:rPr>
          <w:sz w:val="17"/>
          <w:szCs w:val="17"/>
        </w:rPr>
      </w:pPr>
    </w:p>
  </w:endnote>
  <w:endnote w:type="continuationSeparator" w:id="0">
    <w:p w:rsidR="00FA37D2" w:rsidRPr="00215F0B" w:rsidRDefault="00FA37D2" w:rsidP="008957B1">
      <w:pPr>
        <w:rPr>
          <w:sz w:val="18"/>
          <w:szCs w:val="18"/>
        </w:rPr>
      </w:pPr>
      <w:r w:rsidRPr="00215F0B">
        <w:rPr>
          <w:sz w:val="18"/>
          <w:szCs w:val="18"/>
        </w:rPr>
        <w:continuationSeparator/>
      </w:r>
    </w:p>
    <w:p w:rsidR="00FA37D2" w:rsidRPr="00215F0B" w:rsidRDefault="00FA37D2" w:rsidP="008957B1">
      <w:pPr>
        <w:rPr>
          <w:sz w:val="18"/>
          <w:szCs w:val="18"/>
        </w:rPr>
      </w:pPr>
    </w:p>
    <w:p w:rsidR="00FA37D2" w:rsidRPr="00215F0B" w:rsidRDefault="00FA37D2">
      <w:pPr>
        <w:rPr>
          <w:sz w:val="18"/>
          <w:szCs w:val="18"/>
        </w:rPr>
      </w:pPr>
    </w:p>
    <w:p w:rsidR="00FA37D2" w:rsidRPr="00215F0B" w:rsidRDefault="00FA37D2">
      <w:pPr>
        <w:rPr>
          <w:sz w:val="17"/>
          <w:szCs w:val="17"/>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Headings CS)">
    <w:altName w:val="Times New Roman"/>
    <w:panose1 w:val="00000000000000000000"/>
    <w:charset w:val="00"/>
    <w:family w:val="roman"/>
    <w:notTrueType/>
    <w:pitch w:val="default"/>
  </w:font>
  <w:font w:name="Times New Roman (Body C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merodepgina"/>
        <w:sz w:val="16"/>
        <w:szCs w:val="16"/>
      </w:rPr>
      <w:id w:val="-2040661570"/>
      <w:docPartObj>
        <w:docPartGallery w:val="Page Numbers (Bottom of Page)"/>
        <w:docPartUnique/>
      </w:docPartObj>
    </w:sdtPr>
    <w:sdtEndPr>
      <w:rPr>
        <w:rStyle w:val="Nmerodepgina"/>
      </w:rPr>
    </w:sdtEndPr>
    <w:sdtContent>
      <w:p w:rsidR="00570077" w:rsidRPr="00215F0B" w:rsidRDefault="00570077" w:rsidP="00E15475">
        <w:pPr>
          <w:pStyle w:val="Piedepgina"/>
          <w:framePr w:wrap="none" w:vAnchor="text" w:hAnchor="margin" w:xAlign="outside" w:y="1"/>
          <w:rPr>
            <w:rStyle w:val="Nmerodepgina"/>
            <w:sz w:val="16"/>
            <w:szCs w:val="16"/>
          </w:rPr>
        </w:pPr>
        <w:r w:rsidRPr="00215F0B">
          <w:rPr>
            <w:rStyle w:val="Nmerodepgina"/>
            <w:sz w:val="16"/>
            <w:szCs w:val="16"/>
          </w:rPr>
          <w:fldChar w:fldCharType="begin"/>
        </w:r>
        <w:r w:rsidRPr="00215F0B">
          <w:rPr>
            <w:rStyle w:val="Nmerodepgina"/>
            <w:sz w:val="16"/>
            <w:szCs w:val="16"/>
          </w:rPr>
          <w:instrText xml:space="preserve"> PAGE </w:instrText>
        </w:r>
        <w:r w:rsidRPr="00215F0B">
          <w:rPr>
            <w:rStyle w:val="Nmerodepgina"/>
            <w:sz w:val="16"/>
            <w:szCs w:val="16"/>
          </w:rPr>
          <w:fldChar w:fldCharType="separate"/>
        </w:r>
        <w:r w:rsidR="0042554A">
          <w:rPr>
            <w:rStyle w:val="Nmerodepgina"/>
            <w:noProof/>
            <w:sz w:val="16"/>
            <w:szCs w:val="16"/>
          </w:rPr>
          <w:t>20</w:t>
        </w:r>
        <w:r w:rsidRPr="00215F0B">
          <w:rPr>
            <w:rStyle w:val="Nmerodepgina"/>
            <w:sz w:val="16"/>
            <w:szCs w:val="16"/>
          </w:rPr>
          <w:fldChar w:fldCharType="end"/>
        </w:r>
      </w:p>
    </w:sdtContent>
  </w:sdt>
  <w:p w:rsidR="00570077" w:rsidRPr="00215F0B" w:rsidRDefault="00570077" w:rsidP="00D82730">
    <w:pPr>
      <w:pStyle w:val="Piedepgina"/>
      <w:ind w:right="360" w:firstLine="360"/>
      <w:rPr>
        <w:sz w:val="16"/>
        <w:szCs w:val="16"/>
      </w:rPr>
    </w:pPr>
    <w:r w:rsidRPr="00215F0B">
      <w:rPr>
        <w:sz w:val="16"/>
        <w:szCs w:val="16"/>
      </w:rPr>
      <w:t>Beyond Borders 1(</w:t>
    </w:r>
    <w:r>
      <w:rPr>
        <w:sz w:val="16"/>
        <w:szCs w:val="16"/>
      </w:rPr>
      <w:t>2</w:t>
    </w:r>
    <w:r w:rsidRPr="00215F0B">
      <w:rPr>
        <w:sz w:val="16"/>
        <w:szCs w:val="16"/>
      </w:rPr>
      <w:t>)</w:t>
    </w:r>
  </w:p>
  <w:p w:rsidR="00570077" w:rsidRPr="00215F0B" w:rsidRDefault="00570077" w:rsidP="00D82730">
    <w:pPr>
      <w:pStyle w:val="Piedepgina"/>
      <w:ind w:firstLine="360"/>
      <w:rPr>
        <w:sz w:val="16"/>
        <w:szCs w:val="16"/>
      </w:rPr>
    </w:pPr>
    <w:r w:rsidRPr="00215F0B">
      <w:rPr>
        <w:sz w:val="16"/>
        <w:szCs w:val="16"/>
      </w:rPr>
      <w:t>Published by Boston College School of Social Work and Boston College Libraries</w:t>
    </w:r>
  </w:p>
  <w:p w:rsidR="00570077" w:rsidRPr="00215F0B" w:rsidRDefault="00570077">
    <w:pPr>
      <w:rPr>
        <w:sz w:val="18"/>
        <w:szCs w:val="18"/>
      </w:rPr>
    </w:pPr>
  </w:p>
  <w:p w:rsidR="00570077" w:rsidRPr="00215F0B" w:rsidRDefault="00570077">
    <w:pPr>
      <w:rPr>
        <w:sz w:val="17"/>
        <w:szCs w:val="17"/>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merodepgina"/>
        <w:sz w:val="16"/>
        <w:szCs w:val="16"/>
      </w:rPr>
      <w:id w:val="-661237568"/>
      <w:docPartObj>
        <w:docPartGallery w:val="Page Numbers (Bottom of Page)"/>
        <w:docPartUnique/>
      </w:docPartObj>
    </w:sdtPr>
    <w:sdtEndPr>
      <w:rPr>
        <w:rStyle w:val="Nmerodepgina"/>
      </w:rPr>
    </w:sdtEndPr>
    <w:sdtContent>
      <w:p w:rsidR="00570077" w:rsidRPr="00215F0B" w:rsidRDefault="00570077" w:rsidP="00E15475">
        <w:pPr>
          <w:pStyle w:val="Piedepgina"/>
          <w:framePr w:wrap="none" w:vAnchor="text" w:hAnchor="margin" w:xAlign="outside" w:y="1"/>
          <w:rPr>
            <w:rStyle w:val="Nmerodepgina"/>
            <w:sz w:val="16"/>
            <w:szCs w:val="16"/>
          </w:rPr>
        </w:pPr>
        <w:r w:rsidRPr="00215F0B">
          <w:rPr>
            <w:rStyle w:val="Nmerodepgina"/>
            <w:sz w:val="16"/>
            <w:szCs w:val="16"/>
          </w:rPr>
          <w:fldChar w:fldCharType="begin"/>
        </w:r>
        <w:r w:rsidRPr="00215F0B">
          <w:rPr>
            <w:rStyle w:val="Nmerodepgina"/>
            <w:sz w:val="16"/>
            <w:szCs w:val="16"/>
          </w:rPr>
          <w:instrText xml:space="preserve"> PAGE </w:instrText>
        </w:r>
        <w:r w:rsidRPr="00215F0B">
          <w:rPr>
            <w:rStyle w:val="Nmerodepgina"/>
            <w:sz w:val="16"/>
            <w:szCs w:val="16"/>
          </w:rPr>
          <w:fldChar w:fldCharType="separate"/>
        </w:r>
        <w:r w:rsidR="0042554A">
          <w:rPr>
            <w:rStyle w:val="Nmerodepgina"/>
            <w:noProof/>
            <w:sz w:val="16"/>
            <w:szCs w:val="16"/>
          </w:rPr>
          <w:t>19</w:t>
        </w:r>
        <w:r w:rsidRPr="00215F0B">
          <w:rPr>
            <w:rStyle w:val="Nmerodepgina"/>
            <w:sz w:val="16"/>
            <w:szCs w:val="16"/>
          </w:rPr>
          <w:fldChar w:fldCharType="end"/>
        </w:r>
      </w:p>
    </w:sdtContent>
  </w:sdt>
  <w:p w:rsidR="00570077" w:rsidRPr="00570077" w:rsidRDefault="00570077" w:rsidP="00D82730">
    <w:pPr>
      <w:pStyle w:val="Piedepgina"/>
      <w:ind w:right="360"/>
      <w:rPr>
        <w:szCs w:val="18"/>
      </w:rPr>
    </w:pPr>
    <w:r w:rsidRPr="00570077">
      <w:rPr>
        <w:szCs w:val="18"/>
      </w:rPr>
      <w:t>Beyond Borders: Advances in Social Welfare</w:t>
    </w:r>
  </w:p>
  <w:p w:rsidR="00570077" w:rsidRPr="00570077" w:rsidRDefault="00570077" w:rsidP="0065798A">
    <w:pPr>
      <w:pStyle w:val="Piedepgina"/>
      <w:rPr>
        <w:szCs w:val="18"/>
      </w:rPr>
    </w:pPr>
    <w:r w:rsidRPr="00570077">
      <w:rPr>
        <w:szCs w:val="18"/>
      </w:rPr>
      <w:t>Volume 1 / Issue 2 / December 2021</w:t>
    </w:r>
  </w:p>
  <w:p w:rsidR="00570077" w:rsidRPr="00215F0B" w:rsidRDefault="00570077">
    <w:pPr>
      <w:rPr>
        <w:sz w:val="18"/>
        <w:szCs w:val="18"/>
      </w:rPr>
    </w:pPr>
  </w:p>
  <w:p w:rsidR="00570077" w:rsidRPr="00215F0B" w:rsidRDefault="00570077">
    <w:pPr>
      <w:rPr>
        <w:sz w:val="17"/>
        <w:szCs w:val="17"/>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merodepgina"/>
        <w:sz w:val="16"/>
        <w:szCs w:val="16"/>
      </w:rPr>
      <w:id w:val="1927694068"/>
      <w:docPartObj>
        <w:docPartGallery w:val="Page Numbers (Bottom of Page)"/>
        <w:docPartUnique/>
      </w:docPartObj>
    </w:sdtPr>
    <w:sdtEndPr>
      <w:rPr>
        <w:rStyle w:val="Nmerodepgina"/>
      </w:rPr>
    </w:sdtEndPr>
    <w:sdtContent>
      <w:p w:rsidR="00570077" w:rsidRPr="00215F0B" w:rsidRDefault="00570077" w:rsidP="00E15475">
        <w:pPr>
          <w:pStyle w:val="Piedepgina"/>
          <w:framePr w:wrap="none" w:vAnchor="text" w:hAnchor="margin" w:xAlign="outside" w:y="1"/>
          <w:rPr>
            <w:rStyle w:val="Nmerodepgina"/>
            <w:sz w:val="16"/>
            <w:szCs w:val="16"/>
          </w:rPr>
        </w:pPr>
        <w:r w:rsidRPr="00215F0B">
          <w:rPr>
            <w:rStyle w:val="Nmerodepgina"/>
            <w:sz w:val="16"/>
            <w:szCs w:val="16"/>
          </w:rPr>
          <w:fldChar w:fldCharType="begin"/>
        </w:r>
        <w:r w:rsidRPr="00215F0B">
          <w:rPr>
            <w:rStyle w:val="Nmerodepgina"/>
            <w:sz w:val="16"/>
            <w:szCs w:val="16"/>
          </w:rPr>
          <w:instrText xml:space="preserve"> PAGE </w:instrText>
        </w:r>
        <w:r w:rsidRPr="00215F0B">
          <w:rPr>
            <w:rStyle w:val="Nmerodepgina"/>
            <w:sz w:val="16"/>
            <w:szCs w:val="16"/>
          </w:rPr>
          <w:fldChar w:fldCharType="separate"/>
        </w:r>
        <w:r w:rsidR="00FA37D2">
          <w:rPr>
            <w:rStyle w:val="Nmerodepgina"/>
            <w:noProof/>
            <w:sz w:val="16"/>
            <w:szCs w:val="16"/>
          </w:rPr>
          <w:t>1</w:t>
        </w:r>
        <w:r w:rsidRPr="00215F0B">
          <w:rPr>
            <w:rStyle w:val="Nmerodepgina"/>
            <w:sz w:val="16"/>
            <w:szCs w:val="16"/>
          </w:rPr>
          <w:fldChar w:fldCharType="end"/>
        </w:r>
      </w:p>
    </w:sdtContent>
  </w:sdt>
  <w:p w:rsidR="00570077" w:rsidRPr="00570077" w:rsidRDefault="00570077" w:rsidP="00D82730">
    <w:pPr>
      <w:pStyle w:val="Piedepgina"/>
      <w:ind w:right="360"/>
      <w:rPr>
        <w:szCs w:val="18"/>
      </w:rPr>
    </w:pPr>
    <w:r w:rsidRPr="00570077">
      <w:rPr>
        <w:szCs w:val="18"/>
      </w:rPr>
      <w:t>Beyond Borders: Advances in Global Welfare</w:t>
    </w:r>
  </w:p>
  <w:p w:rsidR="00570077" w:rsidRPr="00215F0B" w:rsidRDefault="00570077" w:rsidP="0065798A">
    <w:pPr>
      <w:pStyle w:val="Piedepgina"/>
      <w:rPr>
        <w:sz w:val="16"/>
        <w:szCs w:val="16"/>
      </w:rPr>
    </w:pPr>
    <w:r w:rsidRPr="00570077">
      <w:rPr>
        <w:szCs w:val="18"/>
      </w:rPr>
      <w:t>Volume 1 / Issue 2 / December 2021</w:t>
    </w:r>
    <w:r w:rsidRPr="00215F0B">
      <w:rPr>
        <w:sz w:val="16"/>
        <w:szCs w:val="16"/>
      </w:rPr>
      <w:tab/>
    </w:r>
  </w:p>
  <w:p w:rsidR="00570077" w:rsidRPr="00215F0B" w:rsidRDefault="00570077">
    <w:pPr>
      <w:rPr>
        <w:sz w:val="18"/>
        <w:szCs w:val="18"/>
      </w:rPr>
    </w:pPr>
  </w:p>
  <w:p w:rsidR="00570077" w:rsidRPr="00215F0B" w:rsidRDefault="00570077">
    <w:pPr>
      <w:rPr>
        <w:sz w:val="17"/>
        <w:szCs w:val="17"/>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37D2" w:rsidRPr="00215F0B" w:rsidRDefault="00FA37D2" w:rsidP="008957B1">
      <w:pPr>
        <w:rPr>
          <w:sz w:val="18"/>
          <w:szCs w:val="18"/>
        </w:rPr>
      </w:pPr>
      <w:r w:rsidRPr="00215F0B">
        <w:rPr>
          <w:sz w:val="18"/>
          <w:szCs w:val="18"/>
        </w:rPr>
        <w:separator/>
      </w:r>
    </w:p>
    <w:p w:rsidR="00FA37D2" w:rsidRPr="00215F0B" w:rsidRDefault="00FA37D2" w:rsidP="008957B1">
      <w:pPr>
        <w:rPr>
          <w:sz w:val="18"/>
          <w:szCs w:val="18"/>
        </w:rPr>
      </w:pPr>
    </w:p>
    <w:p w:rsidR="00FA37D2" w:rsidRPr="00215F0B" w:rsidRDefault="00FA37D2">
      <w:pPr>
        <w:rPr>
          <w:sz w:val="18"/>
          <w:szCs w:val="18"/>
        </w:rPr>
      </w:pPr>
    </w:p>
    <w:p w:rsidR="00FA37D2" w:rsidRPr="00215F0B" w:rsidRDefault="00FA37D2">
      <w:pPr>
        <w:rPr>
          <w:sz w:val="17"/>
          <w:szCs w:val="17"/>
        </w:rPr>
      </w:pPr>
    </w:p>
  </w:footnote>
  <w:footnote w:type="continuationSeparator" w:id="0">
    <w:p w:rsidR="00FA37D2" w:rsidRPr="00215F0B" w:rsidRDefault="00FA37D2" w:rsidP="008957B1">
      <w:pPr>
        <w:rPr>
          <w:sz w:val="18"/>
          <w:szCs w:val="18"/>
        </w:rPr>
      </w:pPr>
      <w:r w:rsidRPr="00215F0B">
        <w:rPr>
          <w:sz w:val="18"/>
          <w:szCs w:val="18"/>
        </w:rPr>
        <w:continuationSeparator/>
      </w:r>
    </w:p>
    <w:p w:rsidR="00FA37D2" w:rsidRPr="00215F0B" w:rsidRDefault="00FA37D2" w:rsidP="008957B1">
      <w:pPr>
        <w:rPr>
          <w:sz w:val="18"/>
          <w:szCs w:val="18"/>
        </w:rPr>
      </w:pPr>
    </w:p>
    <w:p w:rsidR="00FA37D2" w:rsidRPr="00215F0B" w:rsidRDefault="00FA37D2">
      <w:pPr>
        <w:rPr>
          <w:sz w:val="18"/>
          <w:szCs w:val="18"/>
        </w:rPr>
      </w:pPr>
    </w:p>
    <w:p w:rsidR="00FA37D2" w:rsidRPr="00215F0B" w:rsidRDefault="00FA37D2">
      <w:pPr>
        <w:rPr>
          <w:sz w:val="17"/>
          <w:szCs w:val="17"/>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0077" w:rsidRPr="00570077" w:rsidRDefault="00570077" w:rsidP="00570077">
    <w:pPr>
      <w:spacing w:line="360" w:lineRule="auto"/>
      <w:rPr>
        <w:rFonts w:eastAsia="Times New Roman" w:cs="Times New Roman"/>
        <w:sz w:val="18"/>
        <w:szCs w:val="18"/>
        <w:lang w:val="en"/>
      </w:rPr>
    </w:pPr>
    <w:r w:rsidRPr="00570077">
      <w:rPr>
        <w:sz w:val="18"/>
        <w:szCs w:val="18"/>
      </w:rPr>
      <w:t xml:space="preserve">Lombe, M et al. </w:t>
    </w:r>
    <w:r w:rsidRPr="00570077">
      <w:rPr>
        <w:rFonts w:eastAsia="Times New Roman" w:cs="Times New Roman"/>
        <w:sz w:val="18"/>
        <w:szCs w:val="18"/>
        <w:lang w:val="en"/>
      </w:rPr>
      <w:t xml:space="preserve"> Pathways to child food insecurity in Sub-Saharan Africa: Utilizing the Sustainable Development Goals Framework and Implications for Social Work</w:t>
    </w:r>
  </w:p>
  <w:p w:rsidR="00570077" w:rsidRPr="00215F0B" w:rsidRDefault="00570077" w:rsidP="0065798A">
    <w:pPr>
      <w:pStyle w:val="Encabezado"/>
      <w:rPr>
        <w:sz w:val="16"/>
        <w:szCs w:val="16"/>
      </w:rPr>
    </w:pPr>
  </w:p>
  <w:p w:rsidR="00570077" w:rsidRPr="00215F0B" w:rsidRDefault="00570077">
    <w:pPr>
      <w:rPr>
        <w:sz w:val="18"/>
        <w:szCs w:val="18"/>
      </w:rPr>
    </w:pPr>
  </w:p>
  <w:p w:rsidR="00570077" w:rsidRPr="00215F0B" w:rsidRDefault="00570077">
    <w:pPr>
      <w:rPr>
        <w:sz w:val="17"/>
        <w:szCs w:val="17"/>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0077" w:rsidRPr="00215F0B" w:rsidRDefault="00570077" w:rsidP="0065798A">
    <w:pPr>
      <w:pStyle w:val="Encabezado"/>
      <w:rPr>
        <w:sz w:val="16"/>
        <w:szCs w:val="16"/>
      </w:rPr>
    </w:pPr>
    <w:r w:rsidRPr="00215F0B">
      <w:rPr>
        <w:sz w:val="16"/>
        <w:szCs w:val="16"/>
      </w:rPr>
      <w:t>doi: 10.1093/optional</w:t>
    </w:r>
  </w:p>
  <w:p w:rsidR="00570077" w:rsidRPr="00215F0B" w:rsidRDefault="00570077">
    <w:pPr>
      <w:rPr>
        <w:sz w:val="18"/>
        <w:szCs w:val="18"/>
      </w:rPr>
    </w:pPr>
  </w:p>
  <w:p w:rsidR="00570077" w:rsidRPr="00215F0B" w:rsidRDefault="00570077">
    <w:pPr>
      <w:rPr>
        <w:sz w:val="17"/>
        <w:szCs w:val="17"/>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0077" w:rsidRPr="001C72A7" w:rsidRDefault="00570077" w:rsidP="001C72A7">
    <w:pPr>
      <w:spacing w:line="240" w:lineRule="auto"/>
      <w:jc w:val="center"/>
      <w:rPr>
        <w:rFonts w:eastAsia="Times New Roman" w:cs="Times New Roman"/>
        <w:b/>
        <w:sz w:val="22"/>
        <w:szCs w:val="22"/>
        <w:lang w:val="en"/>
      </w:rPr>
    </w:pPr>
    <w:r w:rsidRPr="001C72A7">
      <w:rPr>
        <w:rFonts w:eastAsia="Times New Roman" w:cs="Times New Roman"/>
        <w:b/>
        <w:sz w:val="22"/>
        <w:szCs w:val="22"/>
        <w:lang w:val="en"/>
      </w:rPr>
      <w:t>Pathways to child food insecurity in Sub-Saharan Africa: Utilizing the Sustainable Development Goals Framework and Implications for Social Work</w:t>
    </w:r>
  </w:p>
  <w:p w:rsidR="00570077" w:rsidRPr="00215F0B" w:rsidRDefault="00570077" w:rsidP="0065798A">
    <w:pPr>
      <w:rPr>
        <w:sz w:val="18"/>
        <w:szCs w:val="18"/>
      </w:rPr>
    </w:pPr>
  </w:p>
  <w:p w:rsidR="00570077" w:rsidRDefault="00570077" w:rsidP="0065798A">
    <w:pPr>
      <w:rPr>
        <w:sz w:val="18"/>
        <w:szCs w:val="18"/>
      </w:rPr>
    </w:pPr>
  </w:p>
  <w:p w:rsidR="00570077" w:rsidRDefault="00570077" w:rsidP="0065798A">
    <w:pPr>
      <w:rPr>
        <w:sz w:val="18"/>
        <w:szCs w:val="18"/>
      </w:rPr>
    </w:pPr>
  </w:p>
  <w:p w:rsidR="00570077" w:rsidRDefault="00570077" w:rsidP="00570077">
    <w:pPr>
      <w:rPr>
        <w:sz w:val="18"/>
        <w:szCs w:val="18"/>
      </w:rPr>
    </w:pPr>
    <w:r>
      <w:rPr>
        <w:sz w:val="18"/>
        <w:szCs w:val="18"/>
      </w:rPr>
      <w:tab/>
    </w:r>
    <w:r w:rsidRPr="00215F0B">
      <w:rPr>
        <w:noProof/>
        <w:sz w:val="18"/>
        <w:szCs w:val="18"/>
        <w:lang w:val="es-ES" w:eastAsia="es-ES"/>
      </w:rPr>
      <w:drawing>
        <wp:anchor distT="0" distB="0" distL="114300" distR="114300" simplePos="0" relativeHeight="251658240" behindDoc="0" locked="0" layoutInCell="1" allowOverlap="1" wp14:anchorId="28DB212F" wp14:editId="7994C24A">
          <wp:simplePos x="0" y="0"/>
          <wp:positionH relativeFrom="page">
            <wp:posOffset>0</wp:posOffset>
          </wp:positionH>
          <wp:positionV relativeFrom="page">
            <wp:posOffset>0</wp:posOffset>
          </wp:positionV>
          <wp:extent cx="7772400" cy="274320"/>
          <wp:effectExtent l="0" t="0" r="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eyond-borders-titlepg-top.jpg"/>
                  <pic:cNvPicPr/>
                </pic:nvPicPr>
                <pic:blipFill>
                  <a:blip r:embed="rId1">
                    <a:extLst>
                      <a:ext uri="{28A0092B-C50C-407E-A947-70E740481C1C}">
                        <a14:useLocalDpi xmlns:a14="http://schemas.microsoft.com/office/drawing/2010/main" val="0"/>
                      </a:ext>
                    </a:extLst>
                  </a:blip>
                  <a:stretch>
                    <a:fillRect/>
                  </a:stretch>
                </pic:blipFill>
                <pic:spPr>
                  <a:xfrm>
                    <a:off x="0" y="0"/>
                    <a:ext cx="7772400" cy="274320"/>
                  </a:xfrm>
                  <a:prstGeom prst="rect">
                    <a:avLst/>
                  </a:prstGeom>
                </pic:spPr>
              </pic:pic>
            </a:graphicData>
          </a:graphic>
          <wp14:sizeRelH relativeFrom="margin">
            <wp14:pctWidth>0</wp14:pctWidth>
          </wp14:sizeRelH>
          <wp14:sizeRelV relativeFrom="margin">
            <wp14:pctHeight>0</wp14:pctHeight>
          </wp14:sizeRelV>
        </wp:anchor>
      </w:drawing>
    </w:r>
    <w:r w:rsidRPr="00215F0B">
      <w:rPr>
        <w:sz w:val="18"/>
        <w:szCs w:val="18"/>
      </w:rPr>
      <w:t>Lombe, M</w:t>
    </w:r>
    <w:r>
      <w:rPr>
        <w:sz w:val="18"/>
        <w:szCs w:val="18"/>
      </w:rPr>
      <w:t>*</w:t>
    </w:r>
    <w:r w:rsidRPr="00215F0B">
      <w:rPr>
        <w:sz w:val="18"/>
        <w:szCs w:val="18"/>
      </w:rPr>
      <w:t>., Chu</w:t>
    </w:r>
    <w:r w:rsidR="0042554A">
      <w:rPr>
        <w:sz w:val="16"/>
        <w:szCs w:val="16"/>
      </w:rPr>
      <w:t xml:space="preserve">, </w:t>
    </w:r>
    <w:r w:rsidRPr="00215F0B">
      <w:rPr>
        <w:sz w:val="18"/>
        <w:szCs w:val="18"/>
      </w:rPr>
      <w:t>Y</w:t>
    </w:r>
    <w:r w:rsidR="0042554A" w:rsidRPr="0042554A">
      <w:rPr>
        <w:sz w:val="16"/>
        <w:szCs w:val="16"/>
      </w:rPr>
      <w:t>1</w:t>
    </w:r>
    <w:r w:rsidRPr="00215F0B">
      <w:rPr>
        <w:sz w:val="18"/>
        <w:szCs w:val="18"/>
      </w:rPr>
      <w:t>., Rao, S</w:t>
    </w:r>
    <w:r w:rsidR="0042554A" w:rsidRPr="0042554A">
      <w:rPr>
        <w:sz w:val="16"/>
        <w:szCs w:val="16"/>
      </w:rPr>
      <w:t>1</w:t>
    </w:r>
    <w:r w:rsidRPr="00215F0B">
      <w:rPr>
        <w:sz w:val="18"/>
        <w:szCs w:val="18"/>
      </w:rPr>
      <w:t>. &amp; Wang, K.</w:t>
    </w:r>
    <w:r w:rsidR="0042554A" w:rsidRPr="0042554A">
      <w:rPr>
        <w:sz w:val="16"/>
        <w:szCs w:val="16"/>
      </w:rPr>
      <w:t xml:space="preserve"> </w:t>
    </w:r>
    <w:r w:rsidR="0042554A" w:rsidRPr="0042554A">
      <w:rPr>
        <w:sz w:val="16"/>
        <w:szCs w:val="16"/>
      </w:rPr>
      <w:t>1</w:t>
    </w:r>
  </w:p>
  <w:p w:rsidR="00691C04" w:rsidRDefault="0042554A" w:rsidP="00691C04">
    <w:pPr>
      <w:pStyle w:val="Indent-Paragraph"/>
    </w:pPr>
    <w:r>
      <w:t>*</w:t>
    </w:r>
    <w:r w:rsidR="00691C04">
      <w:t xml:space="preserve">Social Work School. Boston </w:t>
    </w:r>
    <w:r>
      <w:t>University</w:t>
    </w:r>
  </w:p>
  <w:p w:rsidR="0042554A" w:rsidRPr="00691C04" w:rsidRDefault="0042554A" w:rsidP="00691C04">
    <w:pPr>
      <w:pStyle w:val="Indent-Paragraph"/>
    </w:pPr>
    <w:r w:rsidRPr="0042554A">
      <w:rPr>
        <w:sz w:val="16"/>
        <w:szCs w:val="16"/>
      </w:rPr>
      <w:t>1</w:t>
    </w:r>
    <w:r>
      <w:rPr>
        <w:sz w:val="16"/>
        <w:szCs w:val="16"/>
      </w:rPr>
      <w:t xml:space="preserve"> </w:t>
    </w:r>
    <w:bookmarkStart w:id="0" w:name="_GoBack"/>
    <w:bookmarkEnd w:id="0"/>
    <w:r>
      <w:t>Social Work School. Boston College</w:t>
    </w:r>
  </w:p>
  <w:p w:rsidR="00570077" w:rsidRDefault="00570077" w:rsidP="00570077">
    <w:pPr>
      <w:pStyle w:val="Indent-Paragraph"/>
    </w:pPr>
  </w:p>
  <w:p w:rsidR="00570077" w:rsidRPr="00570077" w:rsidRDefault="0042554A" w:rsidP="00570077">
    <w:pPr>
      <w:pStyle w:val="Indent-Paragraph"/>
    </w:pPr>
    <w:hyperlink r:id="rId2" w:history="1">
      <w:r w:rsidRPr="004660D4">
        <w:rPr>
          <w:rStyle w:val="Hipervnculo"/>
        </w:rPr>
        <w:t>margaret.lombe@bc.edu</w:t>
      </w:r>
    </w:hyperlink>
    <w:r>
      <w:t xml:space="preserve">     </w:t>
    </w:r>
    <w:r w:rsidRPr="0042554A">
      <w:rPr>
        <w:sz w:val="16"/>
        <w:szCs w:val="16"/>
      </w:rPr>
      <w:t xml:space="preserve"> </w:t>
    </w:r>
  </w:p>
  <w:p w:rsidR="00570077" w:rsidRDefault="00570077" w:rsidP="00570077">
    <w:pPr>
      <w:pStyle w:val="Indent-Paragraph"/>
    </w:pPr>
  </w:p>
  <w:p w:rsidR="00570077" w:rsidRPr="00570077" w:rsidRDefault="00570077" w:rsidP="00570077">
    <w:pPr>
      <w:pStyle w:val="Indent-Paragraph"/>
    </w:pPr>
  </w:p>
  <w:p w:rsidR="00570077" w:rsidRPr="00215F0B" w:rsidRDefault="00570077" w:rsidP="001C72A7">
    <w:pPr>
      <w:pStyle w:val="Indent-Paragraph"/>
      <w:rPr>
        <w:sz w:val="18"/>
        <w:szCs w:val="18"/>
      </w:rPr>
    </w:pPr>
  </w:p>
  <w:p w:rsidR="00570077" w:rsidRPr="00215F0B" w:rsidRDefault="00570077">
    <w:pPr>
      <w:rPr>
        <w:sz w:val="18"/>
        <w:szCs w:val="18"/>
      </w:rPr>
    </w:pPr>
  </w:p>
  <w:p w:rsidR="00570077" w:rsidRPr="00215F0B" w:rsidRDefault="00570077">
    <w:pPr>
      <w:rPr>
        <w:sz w:val="17"/>
        <w:szCs w:val="17"/>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hyphenationZone w:val="425"/>
  <w:evenAndOddHeaders/>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9EF"/>
    <w:rsid w:val="00023903"/>
    <w:rsid w:val="00024275"/>
    <w:rsid w:val="001C72A7"/>
    <w:rsid w:val="001E1F8F"/>
    <w:rsid w:val="00215F0B"/>
    <w:rsid w:val="00296B7A"/>
    <w:rsid w:val="00345EA9"/>
    <w:rsid w:val="00403DD6"/>
    <w:rsid w:val="0042554A"/>
    <w:rsid w:val="00570077"/>
    <w:rsid w:val="0059332B"/>
    <w:rsid w:val="005A7B54"/>
    <w:rsid w:val="005C3CB9"/>
    <w:rsid w:val="0063417B"/>
    <w:rsid w:val="006420CF"/>
    <w:rsid w:val="0065798A"/>
    <w:rsid w:val="00691C04"/>
    <w:rsid w:val="00743B92"/>
    <w:rsid w:val="0076322E"/>
    <w:rsid w:val="008957B1"/>
    <w:rsid w:val="00972CD7"/>
    <w:rsid w:val="009A52A5"/>
    <w:rsid w:val="009C098C"/>
    <w:rsid w:val="00A81193"/>
    <w:rsid w:val="00B55FCE"/>
    <w:rsid w:val="00B613AB"/>
    <w:rsid w:val="00B87750"/>
    <w:rsid w:val="00C42D27"/>
    <w:rsid w:val="00CB106A"/>
    <w:rsid w:val="00CD59EF"/>
    <w:rsid w:val="00CF7EB2"/>
    <w:rsid w:val="00D82730"/>
    <w:rsid w:val="00DC583A"/>
    <w:rsid w:val="00DE5EE6"/>
    <w:rsid w:val="00E10C93"/>
    <w:rsid w:val="00E15475"/>
    <w:rsid w:val="00E26B03"/>
    <w:rsid w:val="00E672CF"/>
    <w:rsid w:val="00F105FC"/>
    <w:rsid w:val="00F31A83"/>
    <w:rsid w:val="00F57F6F"/>
    <w:rsid w:val="00FA37D2"/>
    <w:rsid w:val="00FB08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8B9103"/>
  <w15:chartTrackingRefBased/>
  <w15:docId w15:val="{5AB2DE9A-0B76-4D41-9626-BB448A46D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Indent-Paragraph"/>
    <w:qFormat/>
    <w:rsid w:val="008957B1"/>
    <w:pPr>
      <w:spacing w:line="276" w:lineRule="auto"/>
    </w:pPr>
    <w:rPr>
      <w:rFonts w:ascii="Times New Roman" w:hAnsi="Times New Roman"/>
      <w:sz w:val="20"/>
    </w:rPr>
  </w:style>
  <w:style w:type="paragraph" w:styleId="Ttulo1">
    <w:name w:val="heading 1"/>
    <w:basedOn w:val="Normal"/>
    <w:next w:val="Normal"/>
    <w:link w:val="Ttulo1Car"/>
    <w:uiPriority w:val="9"/>
    <w:qFormat/>
    <w:rsid w:val="0065798A"/>
    <w:pPr>
      <w:keepNext/>
      <w:keepLines/>
      <w:spacing w:before="240"/>
      <w:outlineLvl w:val="0"/>
    </w:pPr>
    <w:rPr>
      <w:rFonts w:ascii="Verdana" w:eastAsiaTheme="majorEastAsia" w:hAnsi="Verdana" w:cs="Times New Roman (Headings CS)"/>
      <w:b/>
      <w:caps/>
      <w:color w:val="000000" w:themeColor="text1"/>
      <w:szCs w:val="32"/>
    </w:rPr>
  </w:style>
  <w:style w:type="paragraph" w:styleId="Ttulo2">
    <w:name w:val="heading 2"/>
    <w:basedOn w:val="Normal"/>
    <w:next w:val="Normal"/>
    <w:link w:val="Ttulo2Car"/>
    <w:uiPriority w:val="9"/>
    <w:semiHidden/>
    <w:unhideWhenUsed/>
    <w:qFormat/>
    <w:rsid w:val="0065798A"/>
    <w:pPr>
      <w:keepNext/>
      <w:keepLines/>
      <w:spacing w:before="40"/>
      <w:outlineLvl w:val="1"/>
    </w:pPr>
    <w:rPr>
      <w:rFonts w:ascii="Verdana" w:eastAsiaTheme="majorEastAsia" w:hAnsi="Verdana" w:cstheme="majorBidi"/>
      <w:i/>
      <w:color w:val="000000" w:themeColor="text1"/>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Piedepgina"/>
    <w:link w:val="EncabezadoCar"/>
    <w:uiPriority w:val="99"/>
    <w:unhideWhenUsed/>
    <w:rsid w:val="0065798A"/>
    <w:pPr>
      <w:pBdr>
        <w:bottom w:val="single" w:sz="4" w:space="1" w:color="auto"/>
      </w:pBdr>
    </w:pPr>
  </w:style>
  <w:style w:type="character" w:customStyle="1" w:styleId="EncabezadoCar">
    <w:name w:val="Encabezado Car"/>
    <w:basedOn w:val="Fuentedeprrafopredeter"/>
    <w:link w:val="Encabezado"/>
    <w:uiPriority w:val="99"/>
    <w:rsid w:val="0065798A"/>
    <w:rPr>
      <w:rFonts w:ascii="Times New Roman" w:hAnsi="Times New Roman"/>
      <w:sz w:val="18"/>
    </w:rPr>
  </w:style>
  <w:style w:type="paragraph" w:styleId="Piedepgina">
    <w:name w:val="footer"/>
    <w:basedOn w:val="Normal"/>
    <w:link w:val="PiedepginaCar"/>
    <w:uiPriority w:val="99"/>
    <w:unhideWhenUsed/>
    <w:rsid w:val="0065798A"/>
    <w:pPr>
      <w:tabs>
        <w:tab w:val="center" w:pos="4680"/>
        <w:tab w:val="right" w:pos="9360"/>
      </w:tabs>
    </w:pPr>
    <w:rPr>
      <w:sz w:val="18"/>
    </w:rPr>
  </w:style>
  <w:style w:type="character" w:customStyle="1" w:styleId="PiedepginaCar">
    <w:name w:val="Pie de página Car"/>
    <w:basedOn w:val="Fuentedeprrafopredeter"/>
    <w:link w:val="Piedepgina"/>
    <w:uiPriority w:val="99"/>
    <w:rsid w:val="0065798A"/>
    <w:rPr>
      <w:rFonts w:ascii="Times New Roman" w:hAnsi="Times New Roman"/>
      <w:sz w:val="18"/>
    </w:rPr>
  </w:style>
  <w:style w:type="character" w:styleId="Nmerodepgina">
    <w:name w:val="page number"/>
    <w:basedOn w:val="Fuentedeprrafopredeter"/>
    <w:uiPriority w:val="99"/>
    <w:semiHidden/>
    <w:unhideWhenUsed/>
    <w:rsid w:val="00CF7EB2"/>
  </w:style>
  <w:style w:type="paragraph" w:customStyle="1" w:styleId="Article-Header">
    <w:name w:val="Article-Header"/>
    <w:basedOn w:val="Normal"/>
    <w:qFormat/>
    <w:rsid w:val="008957B1"/>
    <w:rPr>
      <w:rFonts w:ascii="Verdana" w:hAnsi="Verdana" w:cs="Times New Roman (Body CS)"/>
      <w:b/>
      <w:caps/>
      <w:noProof/>
      <w:szCs w:val="20"/>
    </w:rPr>
  </w:style>
  <w:style w:type="paragraph" w:customStyle="1" w:styleId="Indent-Paragraph">
    <w:name w:val="Indent-Paragraph"/>
    <w:basedOn w:val="Normal"/>
    <w:qFormat/>
    <w:rsid w:val="008957B1"/>
    <w:pPr>
      <w:ind w:firstLine="720"/>
    </w:pPr>
  </w:style>
  <w:style w:type="paragraph" w:styleId="Subttulo">
    <w:name w:val="Subtitle"/>
    <w:basedOn w:val="Normal"/>
    <w:next w:val="Normal"/>
    <w:link w:val="SubttuloCar"/>
    <w:uiPriority w:val="11"/>
    <w:qFormat/>
    <w:rsid w:val="0065798A"/>
    <w:pPr>
      <w:numPr>
        <w:ilvl w:val="1"/>
      </w:numPr>
    </w:pPr>
    <w:rPr>
      <w:rFonts w:ascii="Verdana" w:eastAsiaTheme="minorEastAsia" w:hAnsi="Verdana" w:cs="Times New Roman (Body CS)"/>
      <w:i/>
      <w:color w:val="000000" w:themeColor="text1"/>
      <w:szCs w:val="22"/>
    </w:rPr>
  </w:style>
  <w:style w:type="character" w:customStyle="1" w:styleId="SubttuloCar">
    <w:name w:val="Subtítulo Car"/>
    <w:basedOn w:val="Fuentedeprrafopredeter"/>
    <w:link w:val="Subttulo"/>
    <w:uiPriority w:val="11"/>
    <w:rsid w:val="0065798A"/>
    <w:rPr>
      <w:rFonts w:ascii="Verdana" w:eastAsiaTheme="minorEastAsia" w:hAnsi="Verdana" w:cs="Times New Roman (Body CS)"/>
      <w:i/>
      <w:color w:val="000000" w:themeColor="text1"/>
      <w:sz w:val="20"/>
      <w:szCs w:val="22"/>
    </w:rPr>
  </w:style>
  <w:style w:type="paragraph" w:styleId="Ttulo">
    <w:name w:val="Title"/>
    <w:basedOn w:val="Normal"/>
    <w:next w:val="Normal"/>
    <w:link w:val="TtuloCar"/>
    <w:uiPriority w:val="10"/>
    <w:qFormat/>
    <w:rsid w:val="008957B1"/>
    <w:pPr>
      <w:spacing w:line="240" w:lineRule="auto"/>
      <w:contextualSpacing/>
    </w:pPr>
    <w:rPr>
      <w:rFonts w:eastAsiaTheme="majorEastAsia" w:cs="Times New Roman (Headings CS)"/>
      <w:kern w:val="28"/>
      <w:sz w:val="36"/>
      <w:szCs w:val="56"/>
    </w:rPr>
  </w:style>
  <w:style w:type="character" w:customStyle="1" w:styleId="TtuloCar">
    <w:name w:val="Título Car"/>
    <w:basedOn w:val="Fuentedeprrafopredeter"/>
    <w:link w:val="Ttulo"/>
    <w:uiPriority w:val="10"/>
    <w:rsid w:val="008957B1"/>
    <w:rPr>
      <w:rFonts w:ascii="Times New Roman" w:eastAsiaTheme="majorEastAsia" w:hAnsi="Times New Roman" w:cs="Times New Roman (Headings CS)"/>
      <w:kern w:val="28"/>
      <w:sz w:val="36"/>
      <w:szCs w:val="56"/>
    </w:rPr>
  </w:style>
  <w:style w:type="paragraph" w:customStyle="1" w:styleId="Authors">
    <w:name w:val="Authors"/>
    <w:basedOn w:val="Normal"/>
    <w:qFormat/>
    <w:rsid w:val="0065798A"/>
    <w:rPr>
      <w:rFonts w:ascii="Verdana" w:hAnsi="Verdana"/>
    </w:rPr>
  </w:style>
  <w:style w:type="character" w:styleId="Textoennegrita">
    <w:name w:val="Strong"/>
    <w:basedOn w:val="Fuentedeprrafopredeter"/>
    <w:uiPriority w:val="22"/>
    <w:qFormat/>
    <w:rsid w:val="0065798A"/>
    <w:rPr>
      <w:b/>
      <w:bCs/>
    </w:rPr>
  </w:style>
  <w:style w:type="character" w:styleId="nfasis">
    <w:name w:val="Emphasis"/>
    <w:basedOn w:val="Fuentedeprrafopredeter"/>
    <w:uiPriority w:val="20"/>
    <w:qFormat/>
    <w:rsid w:val="0065798A"/>
    <w:rPr>
      <w:i/>
      <w:iCs/>
    </w:rPr>
  </w:style>
  <w:style w:type="character" w:styleId="nfasisintenso">
    <w:name w:val="Intense Emphasis"/>
    <w:basedOn w:val="Fuentedeprrafopredeter"/>
    <w:uiPriority w:val="21"/>
    <w:qFormat/>
    <w:rsid w:val="0065798A"/>
    <w:rPr>
      <w:i/>
      <w:iCs/>
      <w:color w:val="4472C4" w:themeColor="accent1"/>
    </w:rPr>
  </w:style>
  <w:style w:type="character" w:customStyle="1" w:styleId="Ttulo1Car">
    <w:name w:val="Título 1 Car"/>
    <w:basedOn w:val="Fuentedeprrafopredeter"/>
    <w:link w:val="Ttulo1"/>
    <w:uiPriority w:val="9"/>
    <w:rsid w:val="0065798A"/>
    <w:rPr>
      <w:rFonts w:ascii="Verdana" w:eastAsiaTheme="majorEastAsia" w:hAnsi="Verdana" w:cs="Times New Roman (Headings CS)"/>
      <w:b/>
      <w:caps/>
      <w:color w:val="000000" w:themeColor="text1"/>
      <w:sz w:val="20"/>
      <w:szCs w:val="32"/>
    </w:rPr>
  </w:style>
  <w:style w:type="character" w:customStyle="1" w:styleId="Ttulo2Car">
    <w:name w:val="Título 2 Car"/>
    <w:basedOn w:val="Fuentedeprrafopredeter"/>
    <w:link w:val="Ttulo2"/>
    <w:uiPriority w:val="9"/>
    <w:semiHidden/>
    <w:rsid w:val="0065798A"/>
    <w:rPr>
      <w:rFonts w:ascii="Verdana" w:eastAsiaTheme="majorEastAsia" w:hAnsi="Verdana" w:cstheme="majorBidi"/>
      <w:i/>
      <w:color w:val="000000" w:themeColor="text1"/>
      <w:sz w:val="20"/>
      <w:szCs w:val="26"/>
    </w:rPr>
  </w:style>
  <w:style w:type="paragraph" w:styleId="Citadestacada">
    <w:name w:val="Intense Quote"/>
    <w:basedOn w:val="Normal"/>
    <w:next w:val="Normal"/>
    <w:link w:val="CitadestacadaCar"/>
    <w:uiPriority w:val="30"/>
    <w:qFormat/>
    <w:rsid w:val="0065798A"/>
    <w:pPr>
      <w:pBdr>
        <w:top w:val="single" w:sz="4" w:space="10" w:color="81112B"/>
        <w:bottom w:val="single" w:sz="4" w:space="10" w:color="81112B"/>
      </w:pBdr>
      <w:spacing w:before="360" w:after="360"/>
      <w:ind w:left="864" w:right="864"/>
      <w:jc w:val="center"/>
    </w:pPr>
    <w:rPr>
      <w:i/>
      <w:iCs/>
      <w:color w:val="81112B"/>
    </w:rPr>
  </w:style>
  <w:style w:type="character" w:customStyle="1" w:styleId="CitadestacadaCar">
    <w:name w:val="Cita destacada Car"/>
    <w:basedOn w:val="Fuentedeprrafopredeter"/>
    <w:link w:val="Citadestacada"/>
    <w:uiPriority w:val="30"/>
    <w:rsid w:val="0065798A"/>
    <w:rPr>
      <w:rFonts w:ascii="Times New Roman" w:hAnsi="Times New Roman"/>
      <w:i/>
      <w:iCs/>
      <w:color w:val="81112B"/>
      <w:sz w:val="20"/>
    </w:rPr>
  </w:style>
  <w:style w:type="character" w:styleId="Ttulodellibro">
    <w:name w:val="Book Title"/>
    <w:basedOn w:val="Fuentedeprrafopredeter"/>
    <w:uiPriority w:val="33"/>
    <w:qFormat/>
    <w:rsid w:val="0065798A"/>
    <w:rPr>
      <w:b w:val="0"/>
      <w:bCs/>
      <w:i/>
      <w:iCs/>
      <w:spacing w:val="5"/>
    </w:rPr>
  </w:style>
  <w:style w:type="paragraph" w:styleId="Prrafodelista">
    <w:name w:val="List Paragraph"/>
    <w:basedOn w:val="Normal"/>
    <w:uiPriority w:val="34"/>
    <w:qFormat/>
    <w:rsid w:val="0065798A"/>
    <w:pPr>
      <w:ind w:left="720"/>
      <w:contextualSpacing/>
    </w:pPr>
  </w:style>
  <w:style w:type="table" w:styleId="Tablaconcuadrcula">
    <w:name w:val="Table Grid"/>
    <w:basedOn w:val="Tablanormal"/>
    <w:uiPriority w:val="39"/>
    <w:rsid w:val="00E154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42554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6498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unstats.un.org/unsd/methodology/m49/"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hyperlink" Target="mailto:margaret.lombe@bc.edu" TargetMode="External"/><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udent\Downloads\Beyond%20Borders%20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4A6615-81EF-4065-B02A-34077053C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Beyond Borders Article Template</Template>
  <TotalTime>4</TotalTime>
  <Pages>20</Pages>
  <Words>37889</Words>
  <Characters>208392</Characters>
  <Application>Microsoft Office Word</Application>
  <DocSecurity>0</DocSecurity>
  <Lines>1736</Lines>
  <Paragraphs>491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245790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pablo vidal</cp:lastModifiedBy>
  <cp:revision>4</cp:revision>
  <cp:lastPrinted>2019-06-18T14:49:00Z</cp:lastPrinted>
  <dcterms:created xsi:type="dcterms:W3CDTF">2021-12-19T20:57:00Z</dcterms:created>
  <dcterms:modified xsi:type="dcterms:W3CDTF">2021-12-20T07:19:00Z</dcterms:modified>
</cp:coreProperties>
</file>